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检察院刑检部门个人工作总结(通用3篇)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以下是为大家整理的关于检察院刑检部门个人工作总结的文章3篇 ,欢迎品鉴！【篇一】检察院刑检部门个人工作总结　　为深入贯彻党的“xx大”和中央“一号文件”精神，开展“坚持执法为民大讨论...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以下是为大家整理的关于检察院刑检部门个人工作总结的文章3篇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&gt;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&gt;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&gt;三、帮助农民快速提高法律水平，检察机关有拓展工作的空间。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&gt;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【篇二】检察院刑检部门个人工作总结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　　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一、熟悉环境，为今后更好地工作打好基础。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　　二、找准位置，尽最大努力做力所能及的事情。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　　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　　三、努力学习，最大限度地提高自身素质。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周永康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　　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