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关于医生进修内科自我鉴定总结【三篇】</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以下是为大家整理的关于医生进修内科自我鉴定总结的文章3篇 ,欢迎品鉴！【篇1】医生进修内科自我鉴定总结　　美好的时光总让人感觉如此短暂，10个月的进修生活即将结束，总有些许不舍...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以下是为大家整理的关于医生进修内科自我鉴定总结的文章3篇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【篇1】医生进修内科自我鉴定总结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【篇2】医生进修内科自我鉴定总结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黑体" w:hAnsi="黑体" w:eastAsia="黑体" w:cs="黑体"/>
          <w:color w:val="000000"/>
          <w:sz w:val="36"/>
          <w:szCs w:val="36"/>
          <w:b w:val="1"/>
          <w:bCs w:val="1"/>
        </w:rPr>
        <w:t xml:space="preserve">【篇3】医生进修内科自我鉴定总结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2025-07-08T20:22:03+08:00</dcterms:created>
  <dcterms:modified xsi:type="dcterms:W3CDTF">2025-07-08T20:22:03+08:00</dcterms:modified>
</cp:coreProperties>
</file>

<file path=docProps/custom.xml><?xml version="1.0" encoding="utf-8"?>
<Properties xmlns="http://schemas.openxmlformats.org/officeDocument/2006/custom-properties" xmlns:vt="http://schemas.openxmlformats.org/officeDocument/2006/docPropsVTypes"/>
</file>