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最新部门技术工作计划1000字 部门技术工作总结(7篇)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部门技术工作计划1000字 部门技术工作总结一以学校及上级部门计划为指导，教育信息化建设为主线，深化教育教学改革，以促使学生全面、持续、***的发展为出发点;课堂中以学生的发展为本，以活动为主线，以创新为主旨，培养学生的创新意识和实践能力为...</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部门技术工作总结三</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部门技术工作总结四</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部门技术工作总结五</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部门技术工作总结六</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部门技术工作总结七</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