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染整技术无机化学实验教学研究</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随着经济及社会的发展,科学技术既向纵深发展,不断分化,又互相渗透、综合,新兴学科与边缘学科兴起,新技术被应用,信息量剧增,这些对药学的发展均产生影响.下面是小编搜集整理的相关内容的论文，欢迎大家阅读参考。  　&gt;　摘要:《无机化学》实验是...</w:t>
      </w:r>
    </w:p>
    <w:p>
      <w:pPr>
        <w:ind w:left="0" w:right="0" w:firstLine="560"/>
        <w:spacing w:before="450" w:after="450" w:line="312" w:lineRule="auto"/>
      </w:pPr>
      <w:r>
        <w:rPr>
          <w:rFonts w:ascii="宋体" w:hAnsi="宋体" w:eastAsia="宋体" w:cs="宋体"/>
          <w:color w:val="000"/>
          <w:sz w:val="28"/>
          <w:szCs w:val="28"/>
        </w:rPr>
        <w:t xml:space="preserve">随着经济及社会的发展,科学技术既向纵深发展,不断分化,又互相渗透、综合,新兴学科与边缘学科兴起,新技术被应用,信息量剧增,这些对药学的发展均产生影响.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　&gt;　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&gt;一、教师积极备课，构建合理的课程内容体系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&gt;二、激发学生学习积极性和主动性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2.1激发兴趣，主动学习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2.2自主探究，放手质疑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2.3合作学习，突破难点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&gt;三、教学方法的进一步探索</w:t>
      </w:r>
    </w:p>
    <w:p>
      <w:pPr>
        <w:ind w:left="0" w:right="0" w:firstLine="560"/>
        <w:spacing w:before="450" w:after="450" w:line="312" w:lineRule="auto"/>
      </w:pPr>
      <w:r>
        <w:rPr>
          <w:rFonts w:ascii="宋体" w:hAnsi="宋体" w:eastAsia="宋体" w:cs="宋体"/>
          <w:color w:val="000"/>
          <w:sz w:val="28"/>
          <w:szCs w:val="28"/>
        </w:rPr>
        <w:t xml:space="preserve">3.1将德育融入教学之中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3.2提高课堂趣味性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3.3改革考核方式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[1]郑莉珍.工业设计专业高职和本科教育衔接一体的人才培养研究[J].职教论坛，202_(17):59-62.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[2]刘红芳.让学生真正成为课堂的主人[J].文学教育(上)，202_(09):129.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[3]王兴法.大胆放手，把课堂还给学生对361自主开放高效课堂的实践认识[J].新课程学习(中)，202_(02):19.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[4]代永翠.如何让学生成为课堂的主人[J].新课程(上)，202_(05):56.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[5]马春华.如何进行语文课堂教学[J].黑河教育，202_(05):46.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[6]王翠娥，刘新华.轻化专业《仪器分析》课程教学方法探索与实践[J].广东化工，202_，40(19):218，224.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2025-06-16T03:11:42+08:00</dcterms:created>
  <dcterms:modified xsi:type="dcterms:W3CDTF">2025-06-16T03:11:42+08:00</dcterms:modified>
</cp:coreProperties>
</file>

<file path=docProps/custom.xml><?xml version="1.0" encoding="utf-8"?>
<Properties xmlns="http://schemas.openxmlformats.org/officeDocument/2006/custom-properties" xmlns:vt="http://schemas.openxmlformats.org/officeDocument/2006/docPropsVTypes"/>
</file>