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税务局党建工作材料|税务局上半年党建工作总结</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机关党委要发挥党员在精神文明建设中的表率作用。以下是本站小编为大家精心整理的税务局上半年党建工作总结，欢迎大家阅读，供您参考。更多精彩内容请关注本站。　　今年以来，在市局党组和县委、县政府的正确领导下，我们以邓小平理论和“三个代表”重要...</w:t>
      </w:r>
    </w:p>
    <w:p>
      <w:pPr>
        <w:ind w:left="0" w:right="0" w:firstLine="560"/>
        <w:spacing w:before="450" w:after="450" w:line="312" w:lineRule="auto"/>
      </w:pPr>
      <w:r>
        <w:rPr>
          <w:rFonts w:ascii="宋体" w:hAnsi="宋体" w:eastAsia="宋体" w:cs="宋体"/>
          <w:color w:val="000"/>
          <w:sz w:val="28"/>
          <w:szCs w:val="28"/>
        </w:rPr>
        <w:t xml:space="preserve">　　机关党委要发挥党员在精神文明建设中的表率作用。以下是本站小编为大家精心整理的税务局上半年党建工作总结，欢迎大家阅读，供您参考。更多精彩内容请关注本站。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2025-05-02T06:25:52+08:00</dcterms:created>
  <dcterms:modified xsi:type="dcterms:W3CDTF">2025-05-02T06:25:52+08:00</dcterms:modified>
</cp:coreProperties>
</file>

<file path=docProps/custom.xml><?xml version="1.0" encoding="utf-8"?>
<Properties xmlns="http://schemas.openxmlformats.org/officeDocument/2006/custom-properties" xmlns:vt="http://schemas.openxmlformats.org/officeDocument/2006/docPropsVTypes"/>
</file>