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2024年上半年党支部工作总结集合7篇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小编整理的2024年上半年党支部工作总结集合7篇，仅供参考，希望能够帮助到大...</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小编整理的2024年上半年党支部工作总结集合7篇，仅供参考，希望能够帮助到大家。[_TAG_h2]【篇1】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黑体" w:hAnsi="黑体" w:eastAsia="黑体" w:cs="黑体"/>
          <w:color w:val="000000"/>
          <w:sz w:val="36"/>
          <w:szCs w:val="36"/>
          <w:b w:val="1"/>
          <w:bCs w:val="1"/>
        </w:rPr>
        <w:t xml:space="preserve">【篇2】2024年上半年党支部工作总结</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【篇3】2024年上半年党支部工作总结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【篇4】2024年上半年党支部工作总结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【篇5】2024年上半年党支部工作总结</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【篇6】2024年上半年党支部工作总结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【篇7】2024年上半年党支部工作总结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2025-05-03T13:54:52+08:00</dcterms:created>
  <dcterms:modified xsi:type="dcterms:W3CDTF">2025-05-03T13:54:52+08:00</dcterms:modified>
</cp:coreProperties>
</file>

<file path=docProps/custom.xml><?xml version="1.0" encoding="utf-8"?>
<Properties xmlns="http://schemas.openxmlformats.org/officeDocument/2006/custom-properties" xmlns:vt="http://schemas.openxmlformats.org/officeDocument/2006/docPropsVTypes"/>
</file>