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局2024年上半年全面从严治党工作总结(通用)</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最常用的工作总结/工作总结有年终总结、半年总结和季度总结。本站今天为大家精心准备了局2024年上半年全面从严治党工作总结(通用)，希望对大家有所帮助!　　局2024年上半年全面从严治党工作总结(通用)　　2024年党组从严治党工作总结汇报X...</w:t>
      </w:r>
    </w:p>
    <w:p>
      <w:pPr>
        <w:ind w:left="0" w:right="0" w:firstLine="560"/>
        <w:spacing w:before="450" w:after="450" w:line="312" w:lineRule="auto"/>
      </w:pPr>
      <w:r>
        <w:rPr>
          <w:rFonts w:ascii="宋体" w:hAnsi="宋体" w:eastAsia="宋体" w:cs="宋体"/>
          <w:color w:val="000"/>
          <w:sz w:val="28"/>
          <w:szCs w:val="28"/>
        </w:rPr>
        <w:t xml:space="preserve">最常用的工作总结/工作总结有年终总结、半年总结和季度总结。本站今天为大家精心准备了局2024年上半年全面从严治党工作总结(通用)，希望对大家有所帮助![_TAG_h2]　　局2024年上半年全面从严治党工作总结(通用)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2024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局2024年上半年全面从严治党工作总结(通用)</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　　&gt;一、工作进展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2024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　&gt;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2025-08-09T20:33:41+08:00</dcterms:created>
  <dcterms:modified xsi:type="dcterms:W3CDTF">2025-08-09T20:33:41+08:00</dcterms:modified>
</cp:coreProperties>
</file>

<file path=docProps/custom.xml><?xml version="1.0" encoding="utf-8"?>
<Properties xmlns="http://schemas.openxmlformats.org/officeDocument/2006/custom-properties" xmlns:vt="http://schemas.openxmlformats.org/officeDocument/2006/docPropsVTypes"/>
</file>