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2024民政局上半年工作总结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民政局上半年工作总结（精选7篇）只要在民政局管辖的地区发生自然灾害，多样化的救济活动是必不可少的。此外，民政局还要负责公益活动，倡导大家和团体捐款。下面是小编为大家整理的关于20_民政局上半年工作总结，欢迎大家来阅读。20_民政局上半...</w:t>
      </w:r>
    </w:p>
    <w:p>
      <w:pPr>
        <w:ind w:left="0" w:right="0" w:firstLine="560"/>
        <w:spacing w:before="450" w:after="450" w:line="312" w:lineRule="auto"/>
      </w:pPr>
      <w:r>
        <w:rPr>
          <w:rFonts w:ascii="宋体" w:hAnsi="宋体" w:eastAsia="宋体" w:cs="宋体"/>
          <w:color w:val="000"/>
          <w:sz w:val="28"/>
          <w:szCs w:val="28"/>
        </w:rPr>
        <w:t xml:space="preserve">20_民政局上半年工作总结（精选7篇）</w:t>
      </w:r>
    </w:p>
    <w:p>
      <w:pPr>
        <w:ind w:left="0" w:right="0" w:firstLine="560"/>
        <w:spacing w:before="450" w:after="450" w:line="312" w:lineRule="auto"/>
      </w:pPr>
      <w:r>
        <w:rPr>
          <w:rFonts w:ascii="宋体" w:hAnsi="宋体" w:eastAsia="宋体" w:cs="宋体"/>
          <w:color w:val="000"/>
          <w:sz w:val="28"/>
          <w:szCs w:val="28"/>
        </w:rPr>
        <w:t xml:space="preserve">只要在民政局管辖的地区发生自然灾害，多样化的救济活动是必不可少的。此外，民政局还要负责公益活动，倡导大家和团体捐款。下面是小编为大家整理的关于20_民政局上半年工作总结，欢迎大家来阅读。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20_民政局上半年工作总结篇1</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2.16%，月发放资金4.8387万元，全年累计发放低保金及各类补贴（含提标补发金额）共计66.4182万元。为33户困难群众发放冬春救助款1.5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w:t>
      </w:r>
    </w:p>
    <w:p>
      <w:pPr>
        <w:ind w:left="0" w:right="0" w:firstLine="560"/>
        <w:spacing w:before="450" w:after="450" w:line="312" w:lineRule="auto"/>
      </w:pPr>
      <w:r>
        <w:rPr>
          <w:rFonts w:ascii="宋体" w:hAnsi="宋体" w:eastAsia="宋体" w:cs="宋体"/>
          <w:color w:val="000"/>
          <w:sz w:val="28"/>
          <w:szCs w:val="28"/>
        </w:rPr>
        <w:t xml:space="preserve">一是在春节、重阳节期间有社区书记带队，走访慰问了辖区内高龄、三无、空巢及困难老人40多人，为他们带去了大米、清油、鸡蛋等慰问品，发放慰问金5000余元，并祝老人节日快乐；</w:t>
      </w:r>
    </w:p>
    <w:p>
      <w:pPr>
        <w:ind w:left="0" w:right="0" w:firstLine="560"/>
        <w:spacing w:before="450" w:after="450" w:line="312" w:lineRule="auto"/>
      </w:pPr>
      <w:r>
        <w:rPr>
          <w:rFonts w:ascii="宋体" w:hAnsi="宋体" w:eastAsia="宋体" w:cs="宋体"/>
          <w:color w:val="000"/>
          <w:sz w:val="28"/>
          <w:szCs w:val="28"/>
        </w:rPr>
        <w:t xml:space="preserve">二是社区组织干部职工及志愿者队伍定期到空巢、三无老人家中服务，为他们打扫屋子，擦玻璃，洗衣服，帮助老人剪指甲，与他们聊天谈心，拉家常，了解老人的身体状况及生活情况，对存在的问题给予及时解决；</w:t>
      </w:r>
    </w:p>
    <w:p>
      <w:pPr>
        <w:ind w:left="0" w:right="0" w:firstLine="560"/>
        <w:spacing w:before="450" w:after="450" w:line="312" w:lineRule="auto"/>
      </w:pPr>
      <w:r>
        <w:rPr>
          <w:rFonts w:ascii="宋体" w:hAnsi="宋体" w:eastAsia="宋体" w:cs="宋体"/>
          <w:color w:val="000"/>
          <w:sz w:val="28"/>
          <w:szCs w:val="28"/>
        </w:rPr>
        <w:t xml:space="preserve">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宋体" w:hAnsi="宋体" w:eastAsia="宋体" w:cs="宋体"/>
          <w:color w:val="000"/>
          <w:sz w:val="28"/>
          <w:szCs w:val="28"/>
        </w:rPr>
        <w:t xml:space="preserve">一是社区成立了优抚对象帮扶联系小组，畅通信息渠道，对所在地优抚对象进行政策、法规宣传，及时进行信息传递。二是在“八一”建军节来临之际，开展对重点优抚对象走访慰问活动，对辖区伤残军人马治国进行了慰问，为他们送去大米、清油、西瓜等慰问品。三是组织社区网格团队、与现役军人家属进行屈膝谈心并为其家庭悬挂光荣军属牌，让军人家属感受到荣誉感。四是与辖区共建单位结对帮扶困难家庭，充分彰显军民鱼水之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家庭收入难界定。家庭实际收入的核算包括失业救济金、退休金、下岗后领取的基本生活费、打零工的收入、亲友的资助等所有收入。家庭收入隐形化是近年来低保家庭收入界定的最大难题，部分人通过隐报、瞒报等手段掩盖自己的实际家庭收入，而管理人员在调查中得不到相关部门的配合，银行存款、私有房产等做为公民的隐私权，社区无权强行查看，每个低保家庭的实际收入非常难确定。因此，对低保家庭实际收入的审定只能依靠对本人和邻居的询问，掌握情况的真实性难以保证；</w:t>
      </w:r>
    </w:p>
    <w:p>
      <w:pPr>
        <w:ind w:left="0" w:right="0" w:firstLine="560"/>
        <w:spacing w:before="450" w:after="450" w:line="312" w:lineRule="auto"/>
      </w:pPr>
      <w:r>
        <w:rPr>
          <w:rFonts w:ascii="宋体" w:hAnsi="宋体" w:eastAsia="宋体" w:cs="宋体"/>
          <w:color w:val="000"/>
          <w:sz w:val="28"/>
          <w:szCs w:val="28"/>
        </w:rPr>
        <w:t xml:space="preserve">二是动态管理阻力大。就目前低保工作的运行机制而言，退出机制反应慢是一个普遍现象。另一方面对被保者的经济收入动态情况缺乏有效的监督机制。被保者的收入包括劳动所得、投资所得、继承所得、救助所得、意外所得等，但作为主管城市低保工作的民政部门，对被保者经济收入上的动态监控缺乏有效措施，社区也很难做到有效监控，使一部分收入高于低保线家庭不能及时退出，因而被保者的救济标准审定和“脱保”工作还存在很多困难；</w:t>
      </w:r>
    </w:p>
    <w:p>
      <w:pPr>
        <w:ind w:left="0" w:right="0" w:firstLine="560"/>
        <w:spacing w:before="450" w:after="450" w:line="312" w:lineRule="auto"/>
      </w:pPr>
      <w:r>
        <w:rPr>
          <w:rFonts w:ascii="宋体" w:hAnsi="宋体" w:eastAsia="宋体" w:cs="宋体"/>
          <w:color w:val="000"/>
          <w:sz w:val="28"/>
          <w:szCs w:val="28"/>
        </w:rPr>
        <w:t xml:space="preserve">三是流动低保户难管理。近年来，由于城市拆迁、低保户流动大等因素使许多低保户已不能在原址居住，因龙泉里社区处于城乡结合部，区域面积较大，辖区平房多，低保工作面广量大，居民流动频率大，为社区人员的入户工作带来了一定困难，给低保管理工作增加了难度。</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（一）进一步加强对流动低保户的管理。</w:t>
      </w:r>
    </w:p>
    <w:p>
      <w:pPr>
        <w:ind w:left="0" w:right="0" w:firstLine="560"/>
        <w:spacing w:before="450" w:after="450" w:line="312" w:lineRule="auto"/>
      </w:pPr>
      <w:r>
        <w:rPr>
          <w:rFonts w:ascii="宋体" w:hAnsi="宋体" w:eastAsia="宋体" w:cs="宋体"/>
          <w:color w:val="000"/>
          <w:sz w:val="28"/>
          <w:szCs w:val="28"/>
        </w:rPr>
        <w:t xml:space="preserve">（二）严格坚持低保动态管理制度。社区的低保工作人员要做到勤入户、勤跑腿，及时掌握低保家庭的现状，同时还要求有劳动能力的低保对象定时到居委会参加义务劳动或进行相关的政策学习或谈心，以了解他们的实际情况。坚持低保的周、季、半年、一年核查制度，保证低保工作的透明度，实现了低保的“能进能出、能上能下”的动态管理，逐步取消年轻的、有劳动能力的低保户，使那些真正有困难的残疾人、困难老人加入到享受低保的行列中来。</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20_民政局上半年工作总结篇2</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20__年，全乡新增城市低保22户33人、停止33户62人、动态调整5户4人;截至12月底，享受城市低保人数454户819人;全年发放低保金(含补助金)共计10020人次3639104元。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进取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进取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20__年，全乡有26人次手工申报大病医疗救助，救助金额61976.39元;开展临时救助11人次，救助金额17000元。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6万元;开展危房改造2户。红旗社区20__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强化救助工作信息员制度，加强信息员的培训和工作督查。经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树立殡葬礼貌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进取完善居民议事会等相关配套制度，提高群众对本社区重大事务的知晓率，深化了基层民主自治程度;全面开展居委会规范化建设工作，进取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景，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进取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景的透明度，有利于优抚工作的更好开展。双拥创立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1、推进养老服务机构建设。加快龙狮敬老院移址重建项目建设进度，创新余桥社区居家养老服务站管理机制，进取筹建雨润社区居家养老服务站。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贫困残疾人生活异常救助。对贴合政策规定的一、二级残疾人和三级残疾人，每人每年分别补助800元、400元。20__年全乡贴合条件残疾人共216人，发放救助资金159600元，资金于6月底全部打卡发放到救助对象。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医院体检筛选、审核，5名对象户贴合免费进行手术治疗条件，其中2名对象户实施免费手术。对贫困精神残疾每人每年供给1000元基本精神药物治疗费用补助，经申报、审核、审批，全乡贫困精神病残疾人药物补助对象17人;补助资金17000元于7月底经过“一卡通”足额打卡发放到户。</w:t>
      </w:r>
    </w:p>
    <w:p>
      <w:pPr>
        <w:ind w:left="0" w:right="0" w:firstLine="560"/>
        <w:spacing w:before="450" w:after="450" w:line="312" w:lineRule="auto"/>
      </w:pPr>
      <w:r>
        <w:rPr>
          <w:rFonts w:ascii="宋体" w:hAnsi="宋体" w:eastAsia="宋体" w:cs="宋体"/>
          <w:color w:val="000"/>
          <w:sz w:val="28"/>
          <w:szCs w:val="28"/>
        </w:rPr>
        <w:t xml:space="preserve">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加强政策宣传，进取为贴合条件的低收入家庭办理廉租房补助、实物配租和经济适用房申报，对象户资格审查工作扎实开展，着力推进保障住房工作。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2、积极开展婚姻登记协助工作，做好婚姻档案查证;进取办理贫困大学生核实工作，为贫困大学生出具证明。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3、进取办理来信来访工作，20__年妥善处理来访12件次。</w:t>
      </w:r>
    </w:p>
    <w:p>
      <w:pPr>
        <w:ind w:left="0" w:right="0" w:firstLine="560"/>
        <w:spacing w:before="450" w:after="450" w:line="312" w:lineRule="auto"/>
      </w:pPr>
      <w:r>
        <w:rPr>
          <w:rFonts w:ascii="宋体" w:hAnsi="宋体" w:eastAsia="宋体" w:cs="宋体"/>
          <w:color w:val="000"/>
          <w:sz w:val="28"/>
          <w:szCs w:val="28"/>
        </w:rPr>
        <w:t xml:space="preserve">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1、民政信息化建设步伐明显加快。乡、居民政部门进取组织计算机专业知识培训，民政干部计算机应用水平不断提高。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八、民政工作20__年工作思路。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11、强化自身，加强作风和民政队伍建设。</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破 解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_年公益创投获选项目的管理和督导及“十佳公益项目”的评选。同时，启动20____年公益创投活动，发布了《20__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20_民政局上半年工作总结篇4</w:t>
      </w:r>
    </w:p>
    <w:p>
      <w:pPr>
        <w:ind w:left="0" w:right="0" w:firstLine="560"/>
        <w:spacing w:before="450" w:after="450" w:line="312" w:lineRule="auto"/>
      </w:pPr>
      <w:r>
        <w:rPr>
          <w:rFonts w:ascii="宋体" w:hAnsi="宋体" w:eastAsia="宋体" w:cs="宋体"/>
          <w:color w:val="000"/>
          <w:sz w:val="28"/>
          <w:szCs w:val="28"/>
        </w:rPr>
        <w:t xml:space="preserve">在市、街道民政部门的帮忙指导下，牛牛社区民政工作紧紧围绕市委、市政府的中心工作，充分发挥民政工作维护社会稳定，调节社会矛盾，促进社会公平的职能，牛牛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牛牛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牛牛社区结合本社区的实际情景，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成立了牛牛社区城市低保重新认定审核民主评议工作领导小组，并制定了实施方案。经过学习大家对城市低保“应保尽保、应退即退”动态管理工作机制，有了统一认识。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供给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社区低保员认真核对每个申请户供给的原件、复印件，根据要求，逐步完善了低保人员档案。低保实行了动态管理，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4、进取入户调查：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景。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社区实施了边调查、边民主评议的工作方法，审核实行团体评议，记录准确、完整，按要求对低保对象进行张榜公示，公示资料全面，公示栏按要求固定室外，公示栏上有各级举报电话。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供给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在帮忙残联人工作中，进取做好助残的宣传活动，为有条件的残疾人供给就业培训，为他们创造更多的就业机会，让社区内的残疾人在爱心的关爱下更欢乐的生活。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景记录、建立个人档案。对申请人员递交的相关材料严格审核。定期对已享受政策的居民进行排查，及时掌握他们生活情景，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为切实做好特贫困户重大疾病医疗救助工作，社区进取宣传、认真审核并及时受理患病人员的救助工作，建立专人专档，高度透明。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研究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研究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1、对社区居民宣传低保政策的力度还不够，少数居民对低保概念理解不够，以后，社区将经过多种形式加大各种宣传低保政策的力度，促进社区各项民政惠民工作的顺利开展。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2、进取鼓励支持享受低保人员创造就业机会，鼓励他们树立自强自立的精神，为创立和谐社区做出应有的贡献。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忙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20_民政局上半年工作总结篇5</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_元；困难残疾人补贴77人，发放资金6160元；重度残疾人补贴254人，发放资金14710元；特困群体生活费、护理费20人，发放资金3040元；发放优抚对象补助129814.6元；发放高龄老人补贴20330元。按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密，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20_民政局上半年工作总结篇6</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１００％。</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48.7 万元,超额完成了市下达的任务指标,统筹资金按要求上交市慈善总会,镇慈善总会开展了不同形式的慈善救助活动,共发放救助金26.2万元，其中大病救助 36户,发放救助金6.8万元;救助贫困中小学生80人,发放救助金2.4万元; 救助贫困大学生43人,发放救助金8.6万元;救助计生特困户53户,发放救助金 3.8万元,临时救助残疾人等各类特困户 132 户,发放救助金 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20_民政局上半年工作总结篇7</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市、__市建立起自然灾害保险制度，从而在大市范围内形成了覆盖全市、城乡共享、理赔统一的工作格局，实现了区域无限制、理赔无差异、起保无先后的目标。城乡居民住房保险试点先行。作为全市__年民生工作六十项实事之一，我市在__先行试点，探索建立低水平、广覆盖、普惠于民的城乡居民住房保险制度，现已形成试点方案。养老机构综合责任保险覆盖全市。筹措100万元福彩公益金，为全市134家养老机构参保，保险老人达1.3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地震捐款中，共收到善款915.95万元，全部用于援助雅安市社会（儿童）福利院、宝兴县社会福利院和__县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解决养老机构建设的结构性瓶颈。五是引入社会力量。上半年，在整合公益项目资源、公开发布助老信息基础上，举行“爱心助老项目签约发布会”，推出七个爱心助老项目，分别由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8.1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接受民政部专家组对我市“全国社区管理和服务创新实验区”的中期评估，得到充分肯定。在此基础上，继续推动以社区为平台、社会组织为载体、社会工作专业人才为支撑的“三社联动”机制，加快推进社区服务需求与社会组织承接服务的对接。一是做强社区平台。推进新建小区建居工作，开展专题调研，着力解决经济适用房、农民安置房建居难点。市政府专题召开全市新建小区自治组织建设工作推进会，提出新建小区建居、服务管理全覆盖，上半年，15个小区9个社居委已实现管理覆盖。深化社区扁平化管理，立足从有形覆盖到有效覆盖的转变。进一步深化分片包干机制，推广“六必访”先进经验，使分片包干工作真正落到实处，使社区服务管理更加贴近居民需求。二是“做活”社会组织。继续推进公益创投活动，加强20_年公益创投获选项目的管理和督导及“十佳公益项目”的评选。同时，启动20__年公益创投活动，发布了《20__年公益创投实施方案》，继续以项目化方式扶持社区社会组织的发展，使行政职能和社会力量有效结合，更好服务社区居民。加强社会组织孵化基地建设，加大培育扶持力度，上半年全市已新增社会组织386个。三是“做专”社工队伍。加大全国社会工作者职业水平考试宣传发动力度，全市共有2484人报名并通过资格审核，同比增长25%；参考率达83.7%，较去年提高4.2%。自__年全国社工考试以来，我市已有1765人取得了社会工作者职业水平证书。</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市市区公益性骨灰堂建设奖补办法》和《市公益性骨灰堂星级评定办法（试行）》等文件；__山回民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97.8%；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2025-05-03T19:52:31+08:00</dcterms:created>
  <dcterms:modified xsi:type="dcterms:W3CDTF">2025-05-03T19:52:31+08:00</dcterms:modified>
</cp:coreProperties>
</file>

<file path=docProps/custom.xml><?xml version="1.0" encoding="utf-8"?>
<Properties xmlns="http://schemas.openxmlformats.org/officeDocument/2006/custom-properties" xmlns:vt="http://schemas.openxmlformats.org/officeDocument/2006/docPropsVTypes"/>
</file>