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[北京市人力资源和社会保障局]人力资源社会保障局上半年工作总结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力资源社会保障局在于深化社会保障制度改革，深入推进人才体制机制改革。以下是本站为您准备的“人力资源社会保障局上半年工作总结”，供您参考，希望对您有帮助。&gt;人力资源社会保障局上半年工作总结       上半年，市人力资源社会保...</w:t>
      </w:r>
    </w:p>
    <w:p>
      <w:pPr>
        <w:ind w:left="0" w:right="0" w:firstLine="560"/>
        <w:spacing w:before="450" w:after="450" w:line="312" w:lineRule="auto"/>
      </w:pPr>
      <w:r>
        <w:rPr>
          <w:rFonts w:ascii="宋体" w:hAnsi="宋体" w:eastAsia="宋体" w:cs="宋体"/>
          <w:color w:val="000"/>
          <w:sz w:val="28"/>
          <w:szCs w:val="28"/>
        </w:rPr>
        <w:t xml:space="preserve">       人力资源社会保障局在于深化社会保障制度改革，深入推进人才体制机制改革。以下是本站为您准备的“人力资源社会保障局上半年工作总结”，供您参考，希望对您有帮助。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&gt;人力资源社会保障局上半年工作总结</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 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国家千人计划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2024国际城市管理**年会、2024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　　&gt;二、存在问题及下半年工作打算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2025-05-01T03:46:57+08:00</dcterms:created>
  <dcterms:modified xsi:type="dcterms:W3CDTF">2025-05-01T03:46:57+08:00</dcterms:modified>
</cp:coreProperties>
</file>

<file path=docProps/custom.xml><?xml version="1.0" encoding="utf-8"?>
<Properties xmlns="http://schemas.openxmlformats.org/officeDocument/2006/custom-properties" xmlns:vt="http://schemas.openxmlformats.org/officeDocument/2006/docPropsVTypes"/>
</file>