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党支部2024上半年工作总结及情况汇报范文九篇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,欢迎品鉴！【篇1】党支部2024上...</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