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2024党支部上半年党建工作总结【4篇】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以下是为大家整理的关于2024党支部上半年党建工作总结的文章4篇 , 欢迎大家参考查阅！【篇1】2024党支部上半年党建工作总结　　今年以来，在县委、县政府的正确领导下，在县直属机关工委、县政府机关党总支的有力指导下，县安监局党支部立足实际...</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