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最新教育护理护理教育持续质量改进总结</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最新教育护理护理教育持续质量改进总结一一、强化法律意识，增强自我保护意识1.强化学法、用法意识 我国护理教育中，相关的法律法规教育才刚刚起步，大多数护士缺乏有关的法律知识。身为护士长在管理检查护理质量服务中要善于将法律条例融入相关的工作中，...</w:t>
      </w:r>
    </w:p>
    <w:p>
      <w:pPr>
        <w:ind w:left="0" w:right="0" w:firstLine="560"/>
        <w:spacing w:before="450" w:after="450" w:line="312" w:lineRule="auto"/>
      </w:pPr>
      <w:r>
        <w:rPr>
          <w:rFonts w:ascii="黑体" w:hAnsi="黑体" w:eastAsia="黑体" w:cs="黑体"/>
          <w:color w:val="000000"/>
          <w:sz w:val="36"/>
          <w:szCs w:val="36"/>
          <w:b w:val="1"/>
          <w:bCs w:val="1"/>
        </w:rPr>
        <w:t xml:space="preserve">最新教育护理护理教育持续质量改进总结一</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最新教育护理护理教育持续质量改进总结二</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最新教育护理护理教育持续质量改进总结三</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