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链长制半年工作总结(通用5篇)</w:t>
      </w:r>
      <w:bookmarkEnd w:id="1"/>
    </w:p>
    <w:p>
      <w:pPr>
        <w:jc w:val="center"/>
        <w:spacing w:before="0" w:after="450"/>
      </w:pPr>
      <w:r>
        <w:rPr>
          <w:rFonts w:ascii="Arial" w:hAnsi="Arial" w:eastAsia="Arial" w:cs="Arial"/>
          <w:color w:val="999999"/>
          <w:sz w:val="20"/>
          <w:szCs w:val="20"/>
        </w:rPr>
        <w:t xml:space="preserve">来源：网络  作者：雪域冰心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链长制半年工作总结1（一）加强调度，摸清家底，全面梳理产业链情况。县科技局作为新型材料产业链链长制工作牵头部门，结合实际，先后制定了《万安县新型材料产业链链长制工作方案》《关于做好新型材料产业链企业帮扶工作的.通知》，明确了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链长制半年工作总结1</w:t>
      </w:r>
    </w:p>
    <w:p>
      <w:pPr>
        <w:ind w:left="0" w:right="0" w:firstLine="560"/>
        <w:spacing w:before="450" w:after="450" w:line="312" w:lineRule="auto"/>
      </w:pPr>
      <w:r>
        <w:rPr>
          <w:rFonts w:ascii="宋体" w:hAnsi="宋体" w:eastAsia="宋体" w:cs="宋体"/>
          <w:color w:val="000"/>
          <w:sz w:val="28"/>
          <w:szCs w:val="28"/>
        </w:rPr>
        <w:t xml:space="preserve">（一）加强调度，摸清家底，全面梳理产业链情况。县科技局作为新型材料产业链链长制工作牵头部门，结合实际，先后制定了《万安县新型材料产业链链长制工作方案》《关于做好新型材料产业链企业帮扶工作的.通知》，明确了工作任务和目标，由县科技局、县园区管委会、县工信局、县商务局、县财政局主要领导担任分链长，组建了一支专业服务队，形成了产业链长亲力亲为、责任部门合力共为、帮扶单位协同推进的长效工作机制。为全面摸清梳理新型材料产业链基本情况，县科技局制定工作计划，坚持牵头部门每半个月调度一次，定期联合工信、园区、商务、财政等责任部门开展调研，共梳理全县新型材料产业企业xx家（其中规上xx家），重大项目xx个，产业共性政策xx个，细分领域个性政策xx个；企业共性问题xx个，个性问题xx个。x-x月份，我县新型材料产业链xx家企业总产值达亿元，同比增长，主营业收入亿元，同比增长，其中，铜基新材料产业企业、稀贵金属新材料产业企业增幅超xx%，疫情过后，产业链呈良好态势发展，产量稳步提升。</w:t>
      </w:r>
    </w:p>
    <w:p>
      <w:pPr>
        <w:ind w:left="0" w:right="0" w:firstLine="560"/>
        <w:spacing w:before="450" w:after="450" w:line="312" w:lineRule="auto"/>
      </w:pPr>
      <w:r>
        <w:rPr>
          <w:rFonts w:ascii="宋体" w:hAnsi="宋体" w:eastAsia="宋体" w:cs="宋体"/>
          <w:color w:val="000"/>
          <w:sz w:val="28"/>
          <w:szCs w:val="28"/>
        </w:rPr>
        <w:t xml:space="preserve">（二）强攻项目，突出重点，着力实施产业强链。为进一步突出“项目为王”理念，推动产业链链长制工作走深走实，各分链责任单位实时掌握新型材料产业链企业生产运行状况，引导企业实施技改扩能、新建项目，重点对“强链”的xx个项目进行实时跟进。目前，我县倍韬年产xxx万张覆铜板项目产销量连续增长；合力泰上半年模组及摄像头线路板研发项目产量稳中有增，完成销售额x亿元；裕维二期高频高速印制线路板项目已在x月份开工建设；联创电声年产xx万套头盔防护产业园项目基建工程已初步完成，联创宏声的高档耳机关键技术研究及产业项目完成批量生产达产目标；华创的电磁电容二合一超性能智能模组项目第一条生产线投入生产，第二条线已经安装到位，x月底投入生产，电磁笔增加x条生产线已到位，月计划产能xxxxx片/支；瑞通芯纳米级单晶结构工业智能系统储能项目日产万只圆柱电池，月产能达xxx吨；冠佳新能源目前处于试产阶段，xx月正式投产。</w:t>
      </w:r>
    </w:p>
    <w:p>
      <w:pPr>
        <w:ind w:left="0" w:right="0" w:firstLine="560"/>
        <w:spacing w:before="450" w:after="450" w:line="312" w:lineRule="auto"/>
      </w:pPr>
      <w:r>
        <w:rPr>
          <w:rFonts w:ascii="宋体" w:hAnsi="宋体" w:eastAsia="宋体" w:cs="宋体"/>
          <w:color w:val="000"/>
          <w:sz w:val="28"/>
          <w:szCs w:val="28"/>
        </w:rPr>
        <w:t xml:space="preserve">（三）搭建平台，形成合力，着力开展产业对接。根据企业发展诉求和问题，联合帮扶单位组织开展各类对接活动。先后组织倍韬、联创宏声、中信华、新宇腾跃、腾灿科技、万弘等企业参加有色金属产业、VR产业及智库峰会等企业技术需求对接活动，其中联创宏声提报了高端研发平台搭建需求。组织华创触控参加第xx届国际高新技术成果交易会，充分展示我县优质企业发展成果，同时解决技术需求。各分链企业先后开展线上线下产销、技术对接活动xx余次。为解决企业“融资难”问题，县科技局作为牵头部门，联合金融机构积极搭建融资平台，拓宽企业融资群道，开展了“科贷通”等科技金融帮扶，已收到申请入库企业xx家，目前完成放贷xxx万元，做好服务企业的“贴心人”。</w:t>
      </w:r>
    </w:p>
    <w:p>
      <w:pPr>
        <w:ind w:left="0" w:right="0" w:firstLine="560"/>
        <w:spacing w:before="450" w:after="450" w:line="312" w:lineRule="auto"/>
      </w:pPr>
      <w:r>
        <w:rPr>
          <w:rFonts w:ascii="宋体" w:hAnsi="宋体" w:eastAsia="宋体" w:cs="宋体"/>
          <w:color w:val="000"/>
          <w:sz w:val="28"/>
          <w:szCs w:val="28"/>
        </w:rPr>
        <w:t xml:space="preserve">（四）强化帮扶，精准施策，着力推动产业创新。按照x月xx日新型材料产业链链长制工作推进会部署及《关于做好新型材料产业链企业帮扶工作的通知》要求，各分链责任单位联合帮扶单位充分履行职责，发挥自身优势，坚持每月x次深入企业开展走访。开展科技创新等政策宣传，大力实施科技型企业梯次培育计划，引导和支持企业申报各类项目，争创省市级创新平台，加快推动企业技术创新，帮助小微企业做大做精，将重点企业做优做强。今年以来，铜基新材料领域中，入库科技型中小企业达xx家。倍韬获批今年第一批高新技术企业，联创宏声、万瑞电子期满再次认定为高新技术企业，华创触控、联创电声已完成第二批高企申报。联创宏声成功争取省级科技项目x个，正积极筹备申报省级技术创新中心，培育中信华申报市级科技企业孵化器。中信华、椿林焱获批省级重点新产品计划项目x个。为有力促进xG、工业互联网、智慧平台等发展和融合应用，组织华创触控申报了省级xG研发科技重点项目，为补齐我县新型材料产业链短板、延伸产业链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链长制半年工作总结2</w:t>
      </w:r>
    </w:p>
    <w:p>
      <w:pPr>
        <w:ind w:left="0" w:right="0" w:firstLine="560"/>
        <w:spacing w:before="450" w:after="450" w:line="312" w:lineRule="auto"/>
      </w:pPr>
      <w:r>
        <w:rPr>
          <w:rFonts w:ascii="宋体" w:hAnsi="宋体" w:eastAsia="宋体" w:cs="宋体"/>
          <w:color w:val="000"/>
          <w:sz w:val="28"/>
          <w:szCs w:val="28"/>
        </w:rPr>
        <w:t xml:space="preserve">大力招引数字经济核心产业，出台服务全链条的招商政策，积极帮扶做大做强数字经济核心产业。大力招引数字经济核心产业，紧盯头部企业、行业领先企业，重点围绕完善我县电子信息产业及其上下游配套，积极引进电子信息类、网络与软件信息服务类、电商服务平台类等项目入驻，为数字经济健康发展储备优质企业。积极创建应用场景，积极对接全市场景开放创新平台，及时掌握全市“场景清单”发布信息，结合全县工业重点项目、政务服务、民生、医疗、智慧物流、农业农村、教育、旅游、环保、城市管理等领域，好中选优，精心打造推出5个数字化应用场景典型，大力推进政务服务高频高速办理，并积极申报省级应用场景示范项目。实施好26个重点项目，确保产业数字化有亮点，数字产业化有突破，数据运用和数字化治理凸现成效。</w:t>
      </w:r>
    </w:p>
    <w:p>
      <w:pPr>
        <w:ind w:left="0" w:right="0" w:firstLine="560"/>
        <w:spacing w:before="450" w:after="450" w:line="312" w:lineRule="auto"/>
      </w:pPr>
      <w:r>
        <w:rPr>
          <w:rFonts w:ascii="黑体" w:hAnsi="黑体" w:eastAsia="黑体" w:cs="黑体"/>
          <w:color w:val="000000"/>
          <w:sz w:val="36"/>
          <w:szCs w:val="36"/>
          <w:b w:val="1"/>
          <w:bCs w:val="1"/>
        </w:rPr>
        <w:t xml:space="preserve">链长制半年工作总结3</w:t>
      </w:r>
    </w:p>
    <w:p>
      <w:pPr>
        <w:ind w:left="0" w:right="0" w:firstLine="560"/>
        <w:spacing w:before="450" w:after="450" w:line="312" w:lineRule="auto"/>
      </w:pPr>
      <w:r>
        <w:rPr>
          <w:rFonts w:ascii="宋体" w:hAnsi="宋体" w:eastAsia="宋体" w:cs="宋体"/>
          <w:color w:val="000"/>
          <w:sz w:val="28"/>
          <w:szCs w:val="28"/>
        </w:rPr>
        <w:t xml:space="preserve">（一）产业链规模偏小，产业聚集度不高。目前我县新材料产业营收总额仅xx多亿元，整体规模较小，离产业发展目标任务还有较大差距，其中，x-x月份，硅基及玻璃新材料、膜及树脂有基新材料分链生产总值及主营业收入增幅均同比下降。中游企业仅倍韬新材料、万弘x家，其他企业均为下游企业，且数量较少，产业聚集度不高。</w:t>
      </w:r>
    </w:p>
    <w:p>
      <w:pPr>
        <w:ind w:left="0" w:right="0" w:firstLine="560"/>
        <w:spacing w:before="450" w:after="450" w:line="312" w:lineRule="auto"/>
      </w:pPr>
      <w:r>
        <w:rPr>
          <w:rFonts w:ascii="宋体" w:hAnsi="宋体" w:eastAsia="宋体" w:cs="宋体"/>
          <w:color w:val="000"/>
          <w:sz w:val="28"/>
          <w:szCs w:val="28"/>
        </w:rPr>
        <w:t xml:space="preserve">（二）企业创新能力有限，人才不足。我县新型材料产业的xx家企业中，虽在推进全县工业经济发展作出了一定贡献，但随着经济社会的不断发展，企业创新意识不强，研发投入较少，技术得不到创新，基本还是属于来料加工型企业。如：硅基及玻璃产业企业产品，产品科技含量较低，无创新特点，主要为初级加工产品，产品附加值不高。部分企业人才总量偏少，结构不合理，缺乏中高级专业人才，尤其是铜基、硅基及玻璃新材料等方面的技术开发研究高层次人才紧缺。</w:t>
      </w:r>
    </w:p>
    <w:p>
      <w:pPr>
        <w:ind w:left="0" w:right="0" w:firstLine="560"/>
        <w:spacing w:before="450" w:after="450" w:line="312" w:lineRule="auto"/>
      </w:pPr>
      <w:r>
        <w:rPr>
          <w:rFonts w:ascii="宋体" w:hAnsi="宋体" w:eastAsia="宋体" w:cs="宋体"/>
          <w:color w:val="000"/>
          <w:sz w:val="28"/>
          <w:szCs w:val="28"/>
        </w:rPr>
        <w:t xml:space="preserve">（三）企业原材料供应不足，融资难。由于企业供应大部分来源沿海地区，且电子覆铜板产品受树脂、原铜材料价格变动影响，特别是铜价格变动较大，导致铜基新材料中游企业供应较紧张。新型建筑材料部分企业日生产方量较大，水泥、砂石、粉煤灰等原材料采购量相应增加，公司投入的流动资金需求较大，造成资金紧张，公司运营成本相应增加。如：裕维二期已开始建设，在资金上希望得到一定的支持，倍韬新材料资金流动量大，需解决融资难问题等。</w:t>
      </w:r>
    </w:p>
    <w:p>
      <w:pPr>
        <w:ind w:left="0" w:right="0" w:firstLine="560"/>
        <w:spacing w:before="450" w:after="450" w:line="312" w:lineRule="auto"/>
      </w:pPr>
      <w:r>
        <w:rPr>
          <w:rFonts w:ascii="黑体" w:hAnsi="黑体" w:eastAsia="黑体" w:cs="黑体"/>
          <w:color w:val="000000"/>
          <w:sz w:val="36"/>
          <w:szCs w:val="36"/>
          <w:b w:val="1"/>
          <w:bCs w:val="1"/>
        </w:rPr>
        <w:t xml:space="preserve">链长制半年工作总结4</w:t>
      </w:r>
    </w:p>
    <w:p>
      <w:pPr>
        <w:ind w:left="0" w:right="0" w:firstLine="560"/>
        <w:spacing w:before="450" w:after="450" w:line="312" w:lineRule="auto"/>
      </w:pPr>
      <w:r>
        <w:rPr>
          <w:rFonts w:ascii="宋体" w:hAnsi="宋体" w:eastAsia="宋体" w:cs="宋体"/>
          <w:color w:val="000"/>
          <w:sz w:val="28"/>
          <w:szCs w:val="28"/>
        </w:rPr>
        <w:t xml:space="preserve">（一）聚焦产业发展短板，深入实施补链行动。结合新型材料产业链发展规划，围绕我县新型材料产业配套不完善、上游材料依赖进口等短板，突出重点抓招商，主要对接、引进粤港澳大湾区、长三角、珠三角，以及全国各地相关重点企业、重点项目，以满足终端产业需求为导向，集中开展新型产业链招商引资专项行动。推动冠佳新能源尽快投产，加快与光学薄膜新型材料相关企业洽谈合作，拉长产业链条，壮大产业实力，形成聚集效应。加快破解物流不够发达、运输成本高，融资渠道窄、融资难，人才短缺以及原材料供应不足等问题，精准解决制约新材料产业链的关键问题和薄弱环节，推动新材料产业向高端化、智能化、绿色化、集群化方向发展。</w:t>
      </w:r>
    </w:p>
    <w:p>
      <w:pPr>
        <w:ind w:left="0" w:right="0" w:firstLine="560"/>
        <w:spacing w:before="450" w:after="450" w:line="312" w:lineRule="auto"/>
      </w:pPr>
      <w:r>
        <w:rPr>
          <w:rFonts w:ascii="宋体" w:hAnsi="宋体" w:eastAsia="宋体" w:cs="宋体"/>
          <w:color w:val="000"/>
          <w:sz w:val="28"/>
          <w:szCs w:val="28"/>
        </w:rPr>
        <w:t xml:space="preserve">（二）聚焦供应链短板，深入实施延链行动。以我县积极打造“省重点工业产业集群”为契机，充分发挥电子信息产业基地供应链核心作用，带动上下游企业协同采购、协同制造、协同物流。推动倍韬新材料企业开展覆铜板加工，重点引进光学薄膜等产品先进膜材料企业，为我县电子信息企业提供原材料；支持硅基及玻璃新材料企业开发新产品，畅通其原材料供应链。全面推进裕维二期、华创触控等项目建设步伐，促进新型材料产业与人工智能、VR、xG等先进现代技术融合发展。充分利用移动互联网、云计算、大数据、物联网及分享经济模式促进生产方式绿色转型，推动研发设计、原材料供应、加工制造和产品销售等全过程精准协同，实现生产资源优化整合和高效配置。</w:t>
      </w:r>
    </w:p>
    <w:p>
      <w:pPr>
        <w:ind w:left="0" w:right="0" w:firstLine="560"/>
        <w:spacing w:before="450" w:after="450" w:line="312" w:lineRule="auto"/>
      </w:pPr>
      <w:r>
        <w:rPr>
          <w:rFonts w:ascii="宋体" w:hAnsi="宋体" w:eastAsia="宋体" w:cs="宋体"/>
          <w:color w:val="000"/>
          <w:sz w:val="28"/>
          <w:szCs w:val="28"/>
        </w:rPr>
        <w:t xml:space="preserve">（三）聚焦产业创新短板，深入实施创新提升行动。技术创新的主体是企业，创新是企业和产业发展的必然方向。作为企业创新的“推动者”，坚持围绕创新驱动发展战略，进一步强化帮扶措施，加大新型材料产业发展政策宣传力度，实施产业梯次培育行动，重点培育华创、联创电声为高新技术企业，抓好新型材料产业工程技术中心（重点实验室）等创新平台建设，培育中信华等创建省级科技孵化器，支持联创宏声争创省级省级技术创新中心。充分依托县域内现有科研创新平台，邀请省市科研创新力量指导企业开展技术攻关。推动电子信息产业产学研科创基地和省、市级产业技术战略联盟建设。积极引导企业抢抓中央、省、市科技创新政策机遇，谋划和申报各类科技创新重大专项和重点项目。</w:t>
      </w:r>
    </w:p>
    <w:p>
      <w:pPr>
        <w:ind w:left="0" w:right="0" w:firstLine="560"/>
        <w:spacing w:before="450" w:after="450" w:line="312" w:lineRule="auto"/>
      </w:pPr>
      <w:r>
        <w:rPr>
          <w:rFonts w:ascii="黑体" w:hAnsi="黑体" w:eastAsia="黑体" w:cs="黑体"/>
          <w:color w:val="000000"/>
          <w:sz w:val="36"/>
          <w:szCs w:val="36"/>
          <w:b w:val="1"/>
          <w:bCs w:val="1"/>
        </w:rPr>
        <w:t xml:space="preserve">链长制半年工作总结5</w:t>
      </w:r>
    </w:p>
    <w:p>
      <w:pPr>
        <w:ind w:left="0" w:right="0" w:firstLine="560"/>
        <w:spacing w:before="450" w:after="450" w:line="312" w:lineRule="auto"/>
      </w:pPr>
      <w:r>
        <w:rPr>
          <w:rFonts w:ascii="宋体" w:hAnsi="宋体" w:eastAsia="宋体" w:cs="宋体"/>
          <w:color w:val="000"/>
          <w:sz w:val="28"/>
          <w:szCs w:val="28"/>
        </w:rPr>
        <w:t xml:space="preserve">严格按照省市文件要求，做好我县20_年度166家规模以上工业企业的综合评价工作。确保8月底前完成企业基础信息和指标数据采集等工作，9月底前完成综合评价，公布综合评价结果，形成综合评价分析报告。进一步增强项目储备、加强帮扶指导。对全县规上工业企业实地走访，宣传政策，对绿色制造、产业基础再造、智能制造、新兴产业发展、数字经济、中小企业、全民创业等十大领域项目情况进行摸底申报，精准指导帮扶，计划力争申报18家以上，确保鑫城纺织、德鑫纺织、九方织造等企业成功申报省、市项目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2025-06-16T13:51:02+08:00</dcterms:created>
  <dcterms:modified xsi:type="dcterms:W3CDTF">2025-06-16T13:51:02+08:00</dcterms:modified>
</cp:coreProperties>
</file>

<file path=docProps/custom.xml><?xml version="1.0" encoding="utf-8"?>
<Properties xmlns="http://schemas.openxmlformats.org/officeDocument/2006/custom-properties" xmlns:vt="http://schemas.openxmlformats.org/officeDocument/2006/docPropsVTypes"/>
</file>