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税务局202_年上半年党建工作总结</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工作总结是对某一时间段的工作进行一次全面系统的总检查、总评价、总分析、总研究,从而分析不足,得出可供参考及改进的经验以下是合一范文分享的税务局202_年上半年党建工作总结希望能帮助到大家!　　税务局202_年上半年党建工作总结　　在市局党组...</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工作总结是对某一时间段的工作进行一次全面系统的总检查、总评价、总分析、总研究,从而分析不足,得出可供参考及改进的经验以下是合一范文分享的税务局202_年上半年党建工作总结希望能帮助到大家![_TAG_h2]　　税务局202_年上半年党建工作总结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税务局202_年上半年党建工作总结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_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 ，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二、202_年下半年工作计划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税务局202_年上半年党建工作总结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