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[202_年上半年党建工作汇报]202_年上半年机关党建工作总结</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开展先进性教育活动是机关党建的重点工作。一起来看看本站小编为大家精心整理的“202_年上半年机关党建工作总结”，欢迎大家阅读，供您参考。更多内容请关注本站。　　今年以来，在市局党组和县委、县政府的正确领导下，我们以邓小平理论和“三个代表...</w:t>
      </w:r>
    </w:p>
    <w:p>
      <w:pPr>
        <w:ind w:left="0" w:right="0" w:firstLine="560"/>
        <w:spacing w:before="450" w:after="450" w:line="312" w:lineRule="auto"/>
      </w:pPr>
      <w:r>
        <w:rPr>
          <w:rFonts w:ascii="宋体" w:hAnsi="宋体" w:eastAsia="宋体" w:cs="宋体"/>
          <w:color w:val="000"/>
          <w:sz w:val="28"/>
          <w:szCs w:val="28"/>
        </w:rPr>
        <w:t xml:space="preserve">　　开展先进性教育活动是机关党建的重点工作。一起来看看本站小编为大家精心整理的“202_年上半年机关党建工作总结”，欢迎大家阅读，供您参考。更多内容请关注本站。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2025-05-11T06:47:26+08:00</dcterms:created>
  <dcterms:modified xsi:type="dcterms:W3CDTF">2025-05-11T06:47:26+08:00</dcterms:modified>
</cp:coreProperties>
</file>

<file path=docProps/custom.xml><?xml version="1.0" encoding="utf-8"?>
<Properties xmlns="http://schemas.openxmlformats.org/officeDocument/2006/custom-properties" xmlns:vt="http://schemas.openxmlformats.org/officeDocument/2006/docPropsVTypes"/>
</file>