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2024上半年学校党支部工作总结</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做好工作总结，升华工作内容，让工作清晰明了，使得工作进展顺利进行。本站为大家带来的2024上半年学校党支部工作总结，希望能帮助到大家!　　2024上半年学校党支部工作总结　　20XX年学校党支部围绕教育局党委工作的总体要求，以xx教育创新试...</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做好工作总结，升华工作内容，让工作清晰明了，使得工作进展顺利进行。本站为大家带来的2024上半年学校党支部工作总结，希望能帮助到大家![_TAG_h2]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个人思考和会议交流的形式，组织广大教师学习了xx总书记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