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总结是指对某一阶段的工作、学习或思想中的经验或情况进行分析研究，做出带有规律性的结论。本站今天为大家精心准备了2024年上半年实施乡村振兴战略和三农工作总结，希望对大家有所帮助!　　2024年上半年实施乡村振兴战略和三农工作总结　　2024...</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总结是指对某一阶段的工作、学习或思想中的经验或情况进行分析研究，做出带有规律性的结论。本站今天为大家精心准备了2024年上半年实施乡村振兴战略和三农工作总结，希望对大家有所帮助![_TAG_h2]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 ；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 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 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 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 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 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　　</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 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