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移动公司半年工作总结ppt</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战略”的要求，年初下发《团委*年工...</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　　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　　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　　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　　今年，是我党建党*周年。七一前夕，团委配合机关党委紧紧围绕这一主题，结合全国人民齐心协力、众志成城抗击非典型肺炎取得全面胜利的新形势，举办了“‘深入贯彻xx大精神，喜迎党的*岁生日’板报比赛”、“xx大知识网上答题”、“庆七一‘党团建设杯’xx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　　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　　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　　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　　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　　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　　*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　　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　　“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　　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　　2、组织原有青年文明号参加复查并推荐一个自治区级青年文明号参加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　　3、自治区团委组织“人人参与、共建美好家园”春季义务植树活动。计费中心青年文明号作为整体，早早申请要参加几乎全家出动，打出了自己的标语横幅，展示了青年文明号独特的风采;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　　4、六月份，公司人力资源部举办老少同乐趣味运动会，青年文明号南门营业厅派出成员身披“青年文明号”绶带，头顶烈日，扶老携幼进行了志愿服务，受到老同志和领导们的好评。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　　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　　6、最近，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　　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　　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　　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　　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　　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　　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