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基金投资论文范文参考6篇</w:t>
      </w:r>
      <w:bookmarkEnd w:id="1"/>
    </w:p>
    <w:p>
      <w:pPr>
        <w:jc w:val="center"/>
        <w:spacing w:before="0" w:after="450"/>
      </w:pPr>
      <w:r>
        <w:rPr>
          <w:rFonts w:ascii="Arial" w:hAnsi="Arial" w:eastAsia="Arial" w:cs="Arial"/>
          <w:color w:val="999999"/>
          <w:sz w:val="20"/>
          <w:szCs w:val="20"/>
        </w:rPr>
        <w:t xml:space="preserve">来源：网络  作者：独酌月影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基金投资论文范文参考 第一篇自6只战略配售基金成立以来,资产配置非常保守,主要配置了波动较小的债券资产.从三季报看,多数基金在债券资产上都加了杠杆,6只基金的平均债券仓位为102%,其中南方战略配售债券市值占资产净值的比例高达.而20_年,...</w:t>
      </w:r>
    </w:p>
    <w:p>
      <w:pPr>
        <w:ind w:left="0" w:right="0" w:firstLine="560"/>
        <w:spacing w:before="450" w:after="450" w:line="312" w:lineRule="auto"/>
      </w:pPr>
      <w:r>
        <w:rPr>
          <w:rFonts w:ascii="黑体" w:hAnsi="黑体" w:eastAsia="黑体" w:cs="黑体"/>
          <w:color w:val="000000"/>
          <w:sz w:val="36"/>
          <w:szCs w:val="36"/>
          <w:b w:val="1"/>
          <w:bCs w:val="1"/>
        </w:rPr>
        <w:t xml:space="preserve">基金投资论文范文参考 第一篇</w:t>
      </w:r>
    </w:p>
    <w:p>
      <w:pPr>
        <w:ind w:left="0" w:right="0" w:firstLine="560"/>
        <w:spacing w:before="450" w:after="450" w:line="312" w:lineRule="auto"/>
      </w:pPr>
      <w:r>
        <w:rPr>
          <w:rFonts w:ascii="宋体" w:hAnsi="宋体" w:eastAsia="宋体" w:cs="宋体"/>
          <w:color w:val="000"/>
          <w:sz w:val="28"/>
          <w:szCs w:val="28"/>
        </w:rPr>
        <w:t xml:space="preserve">自6只战略配售基金成立以来,资产配置非常保守,主要配置了波动较小的债券资产.从三季报看,多数基金在债券资产上都加了杠杆,6只基金的平均债券仓位为102%,其中南方战略配售债券市值占资产净值的比例高达.而20_年,国内债市下行有底但不确定性增加,可能处于牛市下半场.发行战略配售基金的都是大型基金公司,债市只要存在趋势,债券依然是战略配售基金收益的基本盘.</w:t>
      </w:r>
    </w:p>
    <w:p>
      <w:pPr>
        <w:ind w:left="0" w:right="0" w:firstLine="560"/>
        <w:spacing w:before="450" w:after="450" w:line="312" w:lineRule="auto"/>
      </w:pPr>
      <w:r>
        <w:rPr>
          <w:rFonts w:ascii="宋体" w:hAnsi="宋体" w:eastAsia="宋体" w:cs="宋体"/>
          <w:color w:val="000"/>
          <w:sz w:val="28"/>
          <w:szCs w:val="28"/>
        </w:rPr>
        <w:t xml:space="preserve">值得注意的是,6只战略配售基金约定在成立半年之后在沪深交易所上市交易,但时间期限早已过去.由于战略配售基金有3年的封闭期不能赎回,因此,成为LOF是给想提前出局的投资者提供一种流动性方案.</w:t>
      </w:r>
    </w:p>
    <w:p>
      <w:pPr>
        <w:ind w:left="0" w:right="0" w:firstLine="560"/>
        <w:spacing w:before="450" w:after="450" w:line="312" w:lineRule="auto"/>
      </w:pPr>
      <w:r>
        <w:rPr>
          <w:rFonts w:ascii="宋体" w:hAnsi="宋体" w:eastAsia="宋体" w:cs="宋体"/>
          <w:color w:val="000"/>
          <w:sz w:val="28"/>
          <w:szCs w:val="28"/>
        </w:rPr>
        <w:t xml:space="preserve">根据历史经验,封闭式基金上市交易后可能会折价交易,一般权益类基金折价幅度可能在5%左右.除了这部分的名义折价,战略配售基金可能采用亚市看跌期权法对CDR进行估值,造成隐含折价.虽然战略配售基金风格更偏债基,上市后不会出现定增基金一度深度折价的情况;但是对于一款债基而言,折价意味着债券到期收益率的上升,从这个角度看,投资者可以等上市折价后择机进入,折价 5%以上就开始具备配置价值.</w:t>
      </w:r>
    </w:p>
    <w:p>
      <w:pPr>
        <w:ind w:left="0" w:right="0" w:firstLine="560"/>
        <w:spacing w:before="450" w:after="450" w:line="312" w:lineRule="auto"/>
      </w:pPr>
      <w:r>
        <w:rPr>
          <w:rFonts w:ascii="宋体" w:hAnsi="宋体" w:eastAsia="宋体" w:cs="宋体"/>
          <w:color w:val="000"/>
          <w:sz w:val="28"/>
          <w:szCs w:val="28"/>
        </w:rPr>
        <w:t xml:space="preserve">综合来看,目前新股发行不多,债市短期仍会持续20_年以来的牛市,对战略配售基金的参与者而言,暂时并不会有大风险.在目前情况下,战略配售基金无疑是躲避二级市场波动的优选.</w:t>
      </w:r>
    </w:p>
    <w:p>
      <w:pPr>
        <w:ind w:left="0" w:right="0" w:firstLine="560"/>
        <w:spacing w:before="450" w:after="450" w:line="312" w:lineRule="auto"/>
      </w:pPr>
      <w:r>
        <w:rPr>
          <w:rFonts w:ascii="宋体" w:hAnsi="宋体" w:eastAsia="宋体" w:cs="宋体"/>
          <w:color w:val="000"/>
          <w:sz w:val="28"/>
          <w:szCs w:val="28"/>
        </w:rPr>
        <w:t xml:space="preserve">总结,这篇文章为关于对写作独角兽和时点浮出水面和申*范文与课题研究的大学硕士、基金本科毕业论文基金论文开题报告范文和相关文献综述及职称论文参考文献资料有帮助.</w:t>
      </w:r>
    </w:p>
    <w:p>
      <w:pPr>
        <w:ind w:left="0" w:right="0" w:firstLine="560"/>
        <w:spacing w:before="450" w:after="450" w:line="312" w:lineRule="auto"/>
      </w:pPr>
      <w:r>
        <w:rPr>
          <w:rFonts w:ascii="宋体" w:hAnsi="宋体" w:eastAsia="宋体" w:cs="宋体"/>
          <w:color w:val="000"/>
          <w:sz w:val="28"/>
          <w:szCs w:val="28"/>
        </w:rPr>
        <w:t xml:space="preserve">基金引用文献:</w:t>
      </w:r>
    </w:p>
    <w:p>
      <w:pPr>
        <w:ind w:left="0" w:right="0" w:firstLine="560"/>
        <w:spacing w:before="450" w:after="450" w:line="312" w:lineRule="auto"/>
      </w:pPr>
      <w:r>
        <w:rPr>
          <w:rFonts w:ascii="黑体" w:hAnsi="黑体" w:eastAsia="黑体" w:cs="黑体"/>
          <w:color w:val="000000"/>
          <w:sz w:val="36"/>
          <w:szCs w:val="36"/>
          <w:b w:val="1"/>
          <w:bCs w:val="1"/>
        </w:rPr>
        <w:t xml:space="preserve">基金投资论文范文参考 第二篇</w:t>
      </w:r>
    </w:p>
    <w:p>
      <w:pPr>
        <w:ind w:left="0" w:right="0" w:firstLine="560"/>
        <w:spacing w:before="450" w:after="450" w:line="312" w:lineRule="auto"/>
      </w:pPr>
      <w:r>
        <w:rPr>
          <w:rFonts w:ascii="宋体" w:hAnsi="宋体" w:eastAsia="宋体" w:cs="宋体"/>
          <w:color w:val="000"/>
          <w:sz w:val="28"/>
          <w:szCs w:val="28"/>
        </w:rPr>
        <w:t xml:space="preserve">封闭型基金不利于提高基金的经营管理水平,还缺少赎回机制,往往使得封闭型基金的总体投资收益率不高.而且,封闭式基金无法每月自动扣款,需要投资者自己手动操作,对投资者的时间和精力耗费较多.而开放型基金的运作管理主要依据于市场,竞争性比较强,可以激励基金经营管理水平和投资盈利水平的提高.再者,开放式基金可以直接于银行购买,每月固定日期自动扣款,为剩余精力不多的工作新人提供了很大的便利.因此,笔者选择开放式基金作为长期定投产品.</w:t>
      </w:r>
    </w:p>
    <w:p>
      <w:pPr>
        <w:ind w:left="0" w:right="0" w:firstLine="560"/>
        <w:spacing w:before="450" w:after="450" w:line="312" w:lineRule="auto"/>
      </w:pPr>
      <w:r>
        <w:rPr>
          <w:rFonts w:ascii="宋体" w:hAnsi="宋体" w:eastAsia="宋体" w:cs="宋体"/>
          <w:color w:val="000"/>
          <w:sz w:val="28"/>
          <w:szCs w:val="28"/>
        </w:rPr>
        <w:t xml:space="preserve">（二）股票型基金、混合型基金、债券型基金和货币市场基金的选择</w:t>
      </w:r>
    </w:p>
    <w:p>
      <w:pPr>
        <w:ind w:left="0" w:right="0" w:firstLine="560"/>
        <w:spacing w:before="450" w:after="450" w:line="312" w:lineRule="auto"/>
      </w:pPr>
      <w:r>
        <w:rPr>
          <w:rFonts w:ascii="宋体" w:hAnsi="宋体" w:eastAsia="宋体" w:cs="宋体"/>
          <w:color w:val="000"/>
          <w:sz w:val="28"/>
          <w:szCs w:val="28"/>
        </w:rPr>
        <w:t xml:space="preserve">债券型基金和货币市场基金虽然风险较低,但其收益都不高,进行定投和一次性投资效果差距不大,用来做定投既耗费了时间成本,又无法实现资金的投资价值.因此需要选择具有一定风险,且投资收益在未来预期会有较大增长空间的基金品种,比如股票型基金和混合型基金.</w:t>
      </w:r>
    </w:p>
    <w:p>
      <w:pPr>
        <w:ind w:left="0" w:right="0" w:firstLine="560"/>
        <w:spacing w:before="450" w:after="450" w:line="312" w:lineRule="auto"/>
      </w:pPr>
      <w:r>
        <w:rPr>
          <w:rFonts w:ascii="宋体" w:hAnsi="宋体" w:eastAsia="宋体" w:cs="宋体"/>
          <w:color w:val="000"/>
          <w:sz w:val="28"/>
          <w:szCs w:val="28"/>
        </w:rPr>
        <w:t xml:space="preserve">如果投资期限较短,在五年左右,则适宜选择混合型基金,因为这类基金收益和风险均较为适中,比较稳健.如果投资期限较长在10年以上,则更适合选择股票型基金这样波动较大的基金,尤其是指数型基金.投资指数型基金实际上是投资能代表市场走势的上市公司组合,在一个经济稳步增长的经济中,指数型基金往往体现超越平均的选股能力.指数型基金最大的缺憾是没有资产配置灵活性,但这对基金定投来说则是优点.资产配置的理想效果就是市场高位减少高风险资产,市场低位增加高风险资产.定投高点少买、低点多买,客观上起到了资产配置的功能.指数型基金通过复制市场或者行业,跟市场走势的拟合度远远超过主动管理的基金产品,其在股市下跌和股市上涨中都具有更大的波动性.从发挥定投优势,最能够体现投资效果的角度来看,指数型基金是天然的定投品种.</w:t>
      </w:r>
    </w:p>
    <w:p>
      <w:pPr>
        <w:ind w:left="0" w:right="0" w:firstLine="560"/>
        <w:spacing w:before="450" w:after="450" w:line="312" w:lineRule="auto"/>
      </w:pPr>
      <w:r>
        <w:rPr>
          <w:rFonts w:ascii="宋体" w:hAnsi="宋体" w:eastAsia="宋体" w:cs="宋体"/>
          <w:color w:val="000"/>
          <w:sz w:val="28"/>
          <w:szCs w:val="28"/>
        </w:rPr>
        <w:t xml:space="preserve">由于本文进行的是长期定投产品的选择,投资的时间跨度长达30-40年,因此,指数型基金更适合笔者的长期定投需求,尽管指数型基金风险较大,但笔者作为一名金融专业的学生,对风险和收益的认识较充分,也愿意承担较高的风险以获得长期性的高收益,充分实现资金的投资价值.综上所述,笔者最终选择指数型开放式基金作为长期基金定投产品.</w:t>
      </w:r>
    </w:p>
    <w:p>
      <w:pPr>
        <w:ind w:left="0" w:right="0" w:firstLine="560"/>
        <w:spacing w:before="450" w:after="450" w:line="312" w:lineRule="auto"/>
      </w:pPr>
      <w:r>
        <w:rPr>
          <w:rFonts w:ascii="黑体" w:hAnsi="黑体" w:eastAsia="黑体" w:cs="黑体"/>
          <w:color w:val="000000"/>
          <w:sz w:val="36"/>
          <w:szCs w:val="36"/>
          <w:b w:val="1"/>
          <w:bCs w:val="1"/>
        </w:rPr>
        <w:t xml:space="preserve">基金投资论文范文参考 第三篇</w:t>
      </w:r>
    </w:p>
    <w:p>
      <w:pPr>
        <w:ind w:left="0" w:right="0" w:firstLine="560"/>
        <w:spacing w:before="450" w:after="450" w:line="312" w:lineRule="auto"/>
      </w:pPr>
      <w:r>
        <w:rPr>
          <w:rFonts w:ascii="宋体" w:hAnsi="宋体" w:eastAsia="宋体" w:cs="宋体"/>
          <w:color w:val="000"/>
          <w:sz w:val="28"/>
          <w:szCs w:val="28"/>
        </w:rPr>
        <w:t xml:space="preserve">根据规定,首次公开发行股票数量在4亿股以上或者在境内发行存托凭证的可以向战略投资者配售股票.汇添富、南方、易方达和招商的战略配售产品依此参与了中国人保的战略配售;在该股上市后,四只基金的收益均出现了跃升,成立以来收益率也均高于华夏和嘉实的产品.</w:t>
      </w:r>
    </w:p>
    <w:p>
      <w:pPr>
        <w:ind w:left="0" w:right="0" w:firstLine="560"/>
        <w:spacing w:before="450" w:after="450" w:line="312" w:lineRule="auto"/>
      </w:pPr>
      <w:r>
        <w:rPr>
          <w:rFonts w:ascii="宋体" w:hAnsi="宋体" w:eastAsia="宋体" w:cs="宋体"/>
          <w:color w:val="000"/>
          <w:sz w:val="28"/>
          <w:szCs w:val="28"/>
        </w:rPr>
        <w:t xml:space="preserve">虽然战略配售基金目前收益飘红,但其中也有因祸得福的原因：小米集团因为种种原因主动撤回CDR审核,选择在香港独立上市,上市不久便遭遇破发,随后股价一路下跌;如果小米选择通过CDR上市A股,在20_年的市场环境中独善其身的可能性也不大.自小米之后,至今未有“独角兽”公司排队CDR审核.</w:t>
      </w:r>
    </w:p>
    <w:p>
      <w:pPr>
        <w:ind w:left="0" w:right="0" w:firstLine="560"/>
        <w:spacing w:before="450" w:after="450" w:line="312" w:lineRule="auto"/>
      </w:pPr>
      <w:r>
        <w:rPr>
          <w:rFonts w:ascii="宋体" w:hAnsi="宋体" w:eastAsia="宋体" w:cs="宋体"/>
          <w:color w:val="000"/>
          <w:sz w:val="28"/>
          <w:szCs w:val="28"/>
        </w:rPr>
        <w:t xml:space="preserve">进入20_年,CDR和大市值龙头两大战略配售的组成部分可能都会受政策激励：首先,作为中国资本市场的一大创新,科创板可能会为战略配售基金提供新股配售或者“独角兽”回归的特批通道.虽然科创板的配套文件还未正式公布,但是在注册制下,优质科创企业会加快上市进程,未来科创板有可能作为海外上市知名企业回归的平台,公募基金为首的机构投资者对科创板企业的定价自主性也会提升.</w:t>
      </w:r>
    </w:p>
    <w:p>
      <w:pPr>
        <w:ind w:left="0" w:right="0" w:firstLine="560"/>
        <w:spacing w:before="450" w:after="450" w:line="312" w:lineRule="auto"/>
      </w:pPr>
      <w:r>
        <w:rPr>
          <w:rFonts w:ascii="宋体" w:hAnsi="宋体" w:eastAsia="宋体" w:cs="宋体"/>
          <w:color w:val="000"/>
          <w:sz w:val="28"/>
          <w:szCs w:val="28"/>
        </w:rPr>
        <w:t xml:space="preserve">其次,行業龙头也未停止上市的步伐,其中中铁总旗下两家大块头京沪高铁和中铁特货也都在积极推进上市,而过往龙头企业上市后的表现也可以称得上是业绩的稳定剂.以最近一起IPO战略配售工业富联为例,虽然受困定价过高,上市四个月后遭遇破发,但是其全球化的生产策略也弱化了关税变化带来的不利影响,工业富联四季度的股价表现也较稳定.在经济下行压力下,如果相关政策出台鼓励相关科创企业通过CDR或者科创板上市,或者积极推进国内行业龙头加速上市,战略配售基金就能分享到政策红利以及“独角兽”的投资收益.</w:t>
      </w:r>
    </w:p>
    <w:p>
      <w:pPr>
        <w:ind w:left="0" w:right="0" w:firstLine="560"/>
        <w:spacing w:before="450" w:after="450" w:line="312" w:lineRule="auto"/>
      </w:pPr>
      <w:r>
        <w:rPr>
          <w:rFonts w:ascii="黑体" w:hAnsi="黑体" w:eastAsia="黑体" w:cs="黑体"/>
          <w:color w:val="000000"/>
          <w:sz w:val="36"/>
          <w:szCs w:val="36"/>
          <w:b w:val="1"/>
          <w:bCs w:val="1"/>
        </w:rPr>
        <w:t xml:space="preserve">基金投资论文范文参考 第四篇</w:t>
      </w:r>
    </w:p>
    <w:p>
      <w:pPr>
        <w:ind w:left="0" w:right="0" w:firstLine="560"/>
        <w:spacing w:before="450" w:after="450" w:line="312" w:lineRule="auto"/>
      </w:pPr>
      <w:r>
        <w:rPr>
          <w:rFonts w:ascii="宋体" w:hAnsi="宋体" w:eastAsia="宋体" w:cs="宋体"/>
          <w:color w:val="000"/>
          <w:sz w:val="28"/>
          <w:szCs w:val="28"/>
        </w:rPr>
        <w:t xml:space="preserve">选股能力和选时能力是基金经理投资能力的重要体现,也是反映基金业绩的两大重要指标.选股能力是是基金经理证券投资分析能力的体现,相比其他因素来说对基金业绩的影响更为稳定.选时能力是战术性资产配置能力,考察了基金经理对行情的把握.两者数值越大,说明基金经理“战胜市场”的能力越强,基金的业绩表现也往往更优.</w:t>
      </w:r>
    </w:p>
    <w:p>
      <w:pPr>
        <w:ind w:left="0" w:right="0" w:firstLine="560"/>
        <w:spacing w:before="450" w:after="450" w:line="312" w:lineRule="auto"/>
      </w:pPr>
      <w:r>
        <w:rPr>
          <w:rFonts w:ascii="宋体" w:hAnsi="宋体" w:eastAsia="宋体" w:cs="宋体"/>
          <w:color w:val="000"/>
          <w:sz w:val="28"/>
          <w:szCs w:val="28"/>
        </w:rPr>
        <w:t xml:space="preserve">首先,将7只基金的选股能力按从大到小的顺序进行排名,剔除数值最小的银华-道琼斯88指数.接下来再比较6只基金的选时能力,剔除数值最小的华夏上证50ETF,剩余5只指数型基金为：融通深证100指数、华安中国A股增强指数、万家180指数、易方达上证50指数、嘉实沪深300ETF联接.</w:t>
      </w:r>
    </w:p>
    <w:p>
      <w:pPr>
        <w:ind w:left="0" w:right="0" w:firstLine="560"/>
        <w:spacing w:before="450" w:after="450" w:line="312" w:lineRule="auto"/>
      </w:pPr>
      <w:r>
        <w:rPr>
          <w:rFonts w:ascii="黑体" w:hAnsi="黑体" w:eastAsia="黑体" w:cs="黑体"/>
          <w:color w:val="000000"/>
          <w:sz w:val="36"/>
          <w:szCs w:val="36"/>
          <w:b w:val="1"/>
          <w:bCs w:val="1"/>
        </w:rPr>
        <w:t xml:space="preserve">基金投资论文范文参考 第五篇</w:t>
      </w:r>
    </w:p>
    <w:p>
      <w:pPr>
        <w:ind w:left="0" w:right="0" w:firstLine="560"/>
        <w:spacing w:before="450" w:after="450" w:line="312" w:lineRule="auto"/>
      </w:pPr>
      <w:r>
        <w:rPr>
          <w:rFonts w:ascii="宋体" w:hAnsi="宋体" w:eastAsia="宋体" w:cs="宋体"/>
          <w:color w:val="000"/>
          <w:sz w:val="28"/>
          <w:szCs w:val="28"/>
        </w:rPr>
        <w:t xml:space="preserve">[1].基金投资风格漂移识别基于收益和风险双维度.《财经理论与实践》.被北京大学《中文核心期刊要目总览》收录PKU.被南京大学《核心期刊目录》收录年3期.彭耿.</w:t>
      </w:r>
    </w:p>
    <w:p>
      <w:pPr>
        <w:ind w:left="0" w:right="0" w:firstLine="560"/>
        <w:spacing w:before="450" w:after="450" w:line="312" w:lineRule="auto"/>
      </w:pPr>
      <w:r>
        <w:rPr>
          <w:rFonts w:ascii="宋体" w:hAnsi="宋体" w:eastAsia="宋体" w:cs="宋体"/>
          <w:color w:val="000"/>
          <w:sz w:val="28"/>
          <w:szCs w:val="28"/>
        </w:rPr>
        <w:t xml:space="preserve">[2].探究基金投资的风险控制.《中国经贸》.20_年17期.陈鲁瑶.</w:t>
      </w:r>
    </w:p>
    <w:p>
      <w:pPr>
        <w:ind w:left="0" w:right="0" w:firstLine="560"/>
        <w:spacing w:before="450" w:after="450" w:line="312" w:lineRule="auto"/>
      </w:pPr>
      <w:r>
        <w:rPr>
          <w:rFonts w:ascii="宋体" w:hAnsi="宋体" w:eastAsia="宋体" w:cs="宋体"/>
          <w:color w:val="000"/>
          <w:sz w:val="28"/>
          <w:szCs w:val="28"/>
        </w:rPr>
        <w:t xml:space="preserve">[3].全球主权财富基金投资空间分布、路径选择.《经济问题》.被北京大学《中文核心期刊要目总览》收录PKU.被南京大学《核心期刊目录》收录年5期.张海亮.周卫江.王亦奇.</w:t>
      </w:r>
    </w:p>
    <w:p>
      <w:pPr>
        <w:ind w:left="0" w:right="0" w:firstLine="560"/>
        <w:spacing w:before="450" w:after="450" w:line="312" w:lineRule="auto"/>
      </w:pPr>
      <w:r>
        <w:rPr>
          <w:rFonts w:ascii="宋体" w:hAnsi="宋体" w:eastAsia="宋体" w:cs="宋体"/>
          <w:color w:val="000"/>
          <w:sz w:val="28"/>
          <w:szCs w:val="28"/>
        </w:rPr>
        <w:t xml:space="preserve">[4].新形势下如何进行基金投资.《现代商业》.20_年23期.田阳.</w:t>
      </w:r>
    </w:p>
    <w:p>
      <w:pPr>
        <w:ind w:left="0" w:right="0" w:firstLine="560"/>
        <w:spacing w:before="450" w:after="450" w:line="312" w:lineRule="auto"/>
      </w:pPr>
      <w:r>
        <w:rPr>
          <w:rFonts w:ascii="宋体" w:hAnsi="宋体" w:eastAsia="宋体" w:cs="宋体"/>
          <w:color w:val="000"/>
          <w:sz w:val="28"/>
          <w:szCs w:val="28"/>
        </w:rPr>
        <w:t xml:space="preserve">[5].基金投资风格理论演进*及引入分形理论的研究探索.《金融理论与实践》.被北京大学《中文核心期刊要目总览》收录年12期.许林.宋光辉.郭文伟.</w:t>
      </w:r>
    </w:p>
    <w:p>
      <w:pPr>
        <w:ind w:left="0" w:right="0" w:firstLine="560"/>
        <w:spacing w:before="450" w:after="450" w:line="312" w:lineRule="auto"/>
      </w:pPr>
      <w:r>
        <w:rPr>
          <w:rFonts w:ascii="宋体" w:hAnsi="宋体" w:eastAsia="宋体" w:cs="宋体"/>
          <w:color w:val="000"/>
          <w:sz w:val="28"/>
          <w:szCs w:val="28"/>
        </w:rPr>
        <w:t xml:space="preserve">[6].个人账户基金投资运营路径设计——基于全国社保基金成功经验的借鉴意义.《东北大学学报（社会科学版）》.被北京大学《中文核心期刊要目总览》收录PKU.被南京大学《核心期刊目录》收录年3期.沈澈.邓大松.</w:t>
      </w:r>
    </w:p>
    <w:p>
      <w:pPr>
        <w:ind w:left="0" w:right="0" w:firstLine="560"/>
        <w:spacing w:before="450" w:after="450" w:line="312" w:lineRule="auto"/>
      </w:pPr>
      <w:r>
        <w:rPr>
          <w:rFonts w:ascii="宋体" w:hAnsi="宋体" w:eastAsia="宋体" w:cs="宋体"/>
          <w:color w:val="000"/>
          <w:sz w:val="28"/>
          <w:szCs w:val="28"/>
        </w:rPr>
        <w:t xml:space="preserve">[7].大学捐赠基金投资的困境和优化路径.《江苏高教》.被北京大学《中文核心期刊要目总览》收录PKU.被南京大学《核心期刊目录》收录年5期.李洁.</w:t>
      </w:r>
    </w:p>
    <w:p>
      <w:pPr>
        <w:ind w:left="0" w:right="0" w:firstLine="560"/>
        <w:spacing w:before="450" w:after="450" w:line="312" w:lineRule="auto"/>
      </w:pPr>
      <w:r>
        <w:rPr>
          <w:rFonts w:ascii="宋体" w:hAnsi="宋体" w:eastAsia="宋体" w:cs="宋体"/>
          <w:color w:val="000"/>
          <w:sz w:val="28"/>
          <w:szCs w:val="28"/>
        </w:rPr>
        <w:t xml:space="preserve">[8].《金融工具确认和计量》准则对基金投资的影响.《证券市场导报》.被北京大学《中文核心期刊要目总览》收录PKU.被南京大学《核心期刊目录》收录年9期.徐筱婷.马广奇.</w:t>
      </w:r>
    </w:p>
    <w:p>
      <w:pPr>
        <w:ind w:left="0" w:right="0" w:firstLine="560"/>
        <w:spacing w:before="450" w:after="450" w:line="312" w:lineRule="auto"/>
      </w:pPr>
      <w:r>
        <w:rPr>
          <w:rFonts w:ascii="宋体" w:hAnsi="宋体" w:eastAsia="宋体" w:cs="宋体"/>
          <w:color w:val="000"/>
          <w:sz w:val="28"/>
          <w:szCs w:val="28"/>
        </w:rPr>
        <w:t xml:space="preserve">[9].浅谈如何进行基金投资.《经济师》.20_年9期.丁玲玲.</w:t>
      </w:r>
    </w:p>
    <w:p>
      <w:pPr>
        <w:ind w:left="0" w:right="0" w:firstLine="560"/>
        <w:spacing w:before="450" w:after="450" w:line="312" w:lineRule="auto"/>
      </w:pPr>
      <w:r>
        <w:rPr>
          <w:rFonts w:ascii="宋体" w:hAnsi="宋体" w:eastAsia="宋体" w:cs="宋体"/>
          <w:color w:val="000"/>
          <w:sz w:val="28"/>
          <w:szCs w:val="28"/>
        </w:rPr>
        <w:t xml:space="preserve">[10].我国基金投资评价方式实证研究—基于因子分析法的基金重仓股研究.《河南社会科学》.被北京大学《中文核心期刊要目总览》收录PKU.被南京大学《核心期刊目录》收录年2期.谢红琴.</w:t>
      </w:r>
    </w:p>
    <w:p>
      <w:pPr>
        <w:ind w:left="0" w:right="0" w:firstLine="560"/>
        <w:spacing w:before="450" w:after="450" w:line="312" w:lineRule="auto"/>
      </w:pPr>
      <w:r>
        <w:rPr>
          <w:rFonts w:ascii="黑体" w:hAnsi="黑体" w:eastAsia="黑体" w:cs="黑体"/>
          <w:color w:val="000000"/>
          <w:sz w:val="36"/>
          <w:szCs w:val="36"/>
          <w:b w:val="1"/>
          <w:bCs w:val="1"/>
        </w:rPr>
        <w:t xml:space="preserve">基金投资论文范文参考 第六篇</w:t>
      </w:r>
    </w:p>
    <w:p>
      <w:pPr>
        <w:ind w:left="0" w:right="0" w:firstLine="560"/>
        <w:spacing w:before="450" w:after="450" w:line="312" w:lineRule="auto"/>
      </w:pPr>
      <w:r>
        <w:rPr>
          <w:rFonts w:ascii="宋体" w:hAnsi="宋体" w:eastAsia="宋体" w:cs="宋体"/>
          <w:color w:val="000"/>
          <w:sz w:val="28"/>
          <w:szCs w:val="28"/>
        </w:rPr>
        <w:t xml:space="preserve">持有人结构是反映基金规模稳定性的重要指标.机构持有基金的比例较大,个人持有比例较小,往往说明基金的规模较为稳定,不容易出现规模的经常性增减,该基金走势被机构看好,机构不断加仓,这时候投资者可以大胆跟进,后期收益将会比较可观.一般地,机构投资比例在30%-40%左右,基金规模会比较稳定,更具有投资价值.融通深证100指数、万家180指数、易方达上证50指数的机构投资者持有比例均远低于30%-40%,表明目前机构投资者对这三只基金的前景尚不看好,基金规模的稳定性较弱,因此剔除,筛选出华安中国A股增强指数和嘉实沪深300ETF联接这两只机构投资者认可度较高的指数型基金.</w:t>
      </w:r>
    </w:p>
    <w:p>
      <w:pPr>
        <w:ind w:left="0" w:right="0" w:firstLine="560"/>
        <w:spacing w:before="450" w:after="450" w:line="312" w:lineRule="auto"/>
      </w:pPr>
      <w:r>
        <w:rPr>
          <w:rFonts w:ascii="宋体" w:hAnsi="宋体" w:eastAsia="宋体" w:cs="宋体"/>
          <w:color w:val="000"/>
          <w:sz w:val="28"/>
          <w:szCs w:val="28"/>
        </w:rPr>
        <w:t xml:space="preserve">基金定投论文参考资料：</w:t>
      </w:r>
    </w:p>
    <w:p>
      <w:pPr>
        <w:ind w:left="0" w:right="0" w:firstLine="560"/>
        <w:spacing w:before="450" w:after="450" w:line="312" w:lineRule="auto"/>
      </w:pPr>
      <w:r>
        <w:rPr>
          <w:rFonts w:ascii="宋体" w:hAnsi="宋体" w:eastAsia="宋体" w:cs="宋体"/>
          <w:color w:val="000"/>
          <w:sz w:val="28"/>
          <w:szCs w:val="28"/>
        </w:rPr>
        <w:t xml:space="preserve">结论：长期基金定投产品选择为适合基金定投论文写作的大学硕士及相关本科毕业论文，相关每月定投500元有意义吗开题报告范文和学术职称论文参考文献下载。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2025-06-15T05:45:56+08:00</dcterms:created>
  <dcterms:modified xsi:type="dcterms:W3CDTF">2025-06-15T05:45:56+08:00</dcterms:modified>
</cp:coreProperties>
</file>

<file path=docProps/custom.xml><?xml version="1.0" encoding="utf-8"?>
<Properties xmlns="http://schemas.openxmlformats.org/officeDocument/2006/custom-properties" xmlns:vt="http://schemas.openxmlformats.org/officeDocument/2006/docPropsVTypes"/>
</file>