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本科论文人文社科范文(通用10篇)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本科论文人文社科范文 第一篇&gt;摘要：党在十六届五中全会通过的《“十一五”规划》建议中，提出了建设社会主义新农村的重大历史任务，在十届_四次会议的政府报告中，_再次强调了这项任务。那么，怎样才能更好更快地建设好社会主义新农村呢?笔者认为，一是...</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第二篇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当代经济学家认为，当前的国民财富存量是未来消费的现值，也是未来社会福利实现的基础。国民财富核算正是基于这样的观点而进行的。本文将系统介绍国民财富核算的方法，并对其进行评价。</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财富存量；国民财富；可持续发展；核算；方法；评价</w:t>
      </w:r>
    </w:p>
    <w:p>
      <w:pPr>
        <w:ind w:left="0" w:right="0" w:firstLine="560"/>
        <w:spacing w:before="450" w:after="450" w:line="312" w:lineRule="auto"/>
      </w:pPr>
      <w:r>
        <w:rPr>
          <w:rFonts w:ascii="宋体" w:hAnsi="宋体" w:eastAsia="宋体" w:cs="宋体"/>
          <w:color w:val="000"/>
          <w:sz w:val="28"/>
          <w:szCs w:val="28"/>
        </w:rPr>
        <w:t xml:space="preserve">1、国民财富的定义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这样的阐述体现了可持续发展所包含的代际公平内涵，即在谋求当代福利提高的同时，也不应损害未来人们谋求这种福利的能力。当前的国民财富存量被认为是未来消费的现值，也是未来社会福利实现的基础。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[1]。</w:t>
      </w:r>
    </w:p>
    <w:p>
      <w:pPr>
        <w:ind w:left="0" w:right="0" w:firstLine="560"/>
        <w:spacing w:before="450" w:after="450" w:line="312" w:lineRule="auto"/>
      </w:pPr>
      <w:r>
        <w:rPr>
          <w:rFonts w:ascii="宋体" w:hAnsi="宋体" w:eastAsia="宋体" w:cs="宋体"/>
          <w:color w:val="000"/>
          <w:sz w:val="28"/>
          <w:szCs w:val="28"/>
        </w:rPr>
        <w:t xml:space="preserve">国家财富隐含着这样的认识：发展的能力体现在不同层面上，自然禀赋的优劣，经济过程产出能力的高低，社会成员拥有知识的多少，社会组织运行状况的好坏，都会对可持续发展起到促进或抑制的作用。这种定义为可持续发展的测度提供了可能。既然发展的持续性体现为机会和能力，财富是衡量能力的基础，那么，如果能够找到适当的手段或方法，我们就可以把这些体现不同性质的财富加总到一起，并通过观测其财富总量的变化来衡量可持续发展的状态和进程。</w:t>
      </w:r>
    </w:p>
    <w:p>
      <w:pPr>
        <w:ind w:left="0" w:right="0" w:firstLine="560"/>
        <w:spacing w:before="450" w:after="450" w:line="312" w:lineRule="auto"/>
      </w:pPr>
      <w:r>
        <w:rPr>
          <w:rFonts w:ascii="宋体" w:hAnsi="宋体" w:eastAsia="宋体" w:cs="宋体"/>
          <w:color w:val="000"/>
          <w:sz w:val="28"/>
          <w:szCs w:val="28"/>
        </w:rPr>
        <w:t xml:space="preserve">1995年6月，世界银行环境部发表《监测环境进展――关于工作进展的报告》，首次提出国家财富的概念，并对测度方法作了探讨，给出了世界各国国家财富的初步测度结果。此报告在国际上引起很大反响，既为它的测度结果，更为国家财富这一全新的概念及其测度方法。后来，世界银行环境部专门成立了指标与环境评价小组继续开展研究，于1997年6月发表了第二份研究报告《财富测度的扩展――环境可持续发展指标》。20_年世界银行发表了一份重要的研究报告《国民财富在哪里：绿色财富核算的理论、方法和政策》，其中对千年评估项目进行了系统的介绍与分析，该项目是对20_年世界125个国家的国民财富进行估算，从中发现财富、发展与可持续发展之间的联系。20_年，世界银行对20_年世界152个国家的国民财富进行了估算，并发表了工作报告《财富的变化：在新千年的可持续发展测度》。两份工作报告的颁布标志着国民财富核算已经由理论探讨进入到具体实践，而且随着理论与方法的成熟，国民财富核算的影响也在日渐扩大。</w:t>
      </w:r>
    </w:p>
    <w:p>
      <w:pPr>
        <w:ind w:left="0" w:right="0" w:firstLine="560"/>
        <w:spacing w:before="450" w:after="450" w:line="312" w:lineRule="auto"/>
      </w:pPr>
      <w:r>
        <w:rPr>
          <w:rFonts w:ascii="宋体" w:hAnsi="宋体" w:eastAsia="宋体" w:cs="宋体"/>
          <w:color w:val="000"/>
          <w:sz w:val="28"/>
          <w:szCs w:val="28"/>
        </w:rPr>
        <w:t xml:space="preserve">&gt;2、国民财富核算的步骤与方法</w:t>
      </w:r>
    </w:p>
    <w:p>
      <w:pPr>
        <w:ind w:left="0" w:right="0" w:firstLine="560"/>
        <w:spacing w:before="450" w:after="450" w:line="312" w:lineRule="auto"/>
      </w:pPr>
      <w:r>
        <w:rPr>
          <w:rFonts w:ascii="宋体" w:hAnsi="宋体" w:eastAsia="宋体" w:cs="宋体"/>
          <w:color w:val="000"/>
          <w:sz w:val="28"/>
          <w:szCs w:val="28"/>
        </w:rPr>
        <w:t xml:space="preserve">国民财富核算的基本步骤是先对生产资本、自然资本进行估算，然后取得国外净资产数据，通过预测未来消费值的方式估算出总财富。总财富与前3种资本之和的差值即为无形资本的价值。</w:t>
      </w:r>
    </w:p>
    <w:p>
      <w:pPr>
        <w:ind w:left="0" w:right="0" w:firstLine="560"/>
        <w:spacing w:before="450" w:after="450" w:line="312" w:lineRule="auto"/>
      </w:pPr>
      <w:r>
        <w:rPr>
          <w:rFonts w:ascii="宋体" w:hAnsi="宋体" w:eastAsia="宋体" w:cs="宋体"/>
          <w:color w:val="000"/>
          <w:sz w:val="28"/>
          <w:szCs w:val="28"/>
        </w:rPr>
        <w:t xml:space="preserve">（1）总财富（Nation Wealth）是按未来25年可持续性消费的净现值来计算的，贴现率取4%。其中基期的初始消费水平取近5年的消费平均水平。</w:t>
      </w:r>
    </w:p>
    <w:p>
      <w:pPr>
        <w:ind w:left="0" w:right="0" w:firstLine="560"/>
        <w:spacing w:before="450" w:after="450" w:line="312" w:lineRule="auto"/>
      </w:pPr>
      <w:r>
        <w:rPr>
          <w:rFonts w:ascii="宋体" w:hAnsi="宋体" w:eastAsia="宋体" w:cs="宋体"/>
          <w:color w:val="000"/>
          <w:sz w:val="28"/>
          <w:szCs w:val="28"/>
        </w:rPr>
        <w:t xml:space="preserve">（2）生产资本（Produced Capital），又被称为产品资本或人造资本，是机械设备、建筑物和城市土地（包括基础设施）的总和。设备、机械与建筑物的价值以永续盘存法进行评估，假设生产资本的服务寿命为20年，折旧方式为几何递减，在不同的国家取统一的折旧率5%。对于城市土地并不认为它是自然资源，所以在国民财富核算中，也将其视为生产资本。城市土地的价值以实物资本价值的固定比例（24%）进行赋值。</w:t>
      </w:r>
    </w:p>
    <w:p>
      <w:pPr>
        <w:ind w:left="0" w:right="0" w:firstLine="560"/>
        <w:spacing w:before="450" w:after="450" w:line="312" w:lineRule="auto"/>
      </w:pPr>
      <w:r>
        <w:rPr>
          <w:rFonts w:ascii="宋体" w:hAnsi="宋体" w:eastAsia="宋体" w:cs="宋体"/>
          <w:color w:val="000"/>
          <w:sz w:val="28"/>
          <w:szCs w:val="28"/>
        </w:rPr>
        <w:t xml:space="preserve">（3）自然资本（Natural Capital）包括一个国家的全部环境遗产。需要说明的是，在现阶段的国民财富核算中，对于自然资本价值的计算，都是基于自然资源的有用价值或使用价值，即都是基于已经探明的资源储量，尚未被人们发现的并不在核算的范围之内。自然资本的价值一般是通过将各种资源在其使用年限内的“经济租金”贴现并加总的方式来估价的。</w:t>
      </w:r>
    </w:p>
    <w:p>
      <w:pPr>
        <w:ind w:left="0" w:right="0" w:firstLine="560"/>
        <w:spacing w:before="450" w:after="450" w:line="312" w:lineRule="auto"/>
      </w:pPr>
      <w:r>
        <w:rPr>
          <w:rFonts w:ascii="宋体" w:hAnsi="宋体" w:eastAsia="宋体" w:cs="宋体"/>
          <w:color w:val="000"/>
          <w:sz w:val="28"/>
          <w:szCs w:val="28"/>
        </w:rPr>
        <w:t xml:space="preserve">（4）国外净资产（Net Foreign Assets）是20_年国民核算引进的一个新概念。它与其他资本形式组成了国民财富。国外净资产计算方法为总资产减去总负债。使用的是由Lane和Milesi Ferretti开发的External Wealth of Nations Mark数据库中的相关数据。</w:t>
      </w:r>
    </w:p>
    <w:p>
      <w:pPr>
        <w:ind w:left="0" w:right="0" w:firstLine="560"/>
        <w:spacing w:before="450" w:after="450" w:line="312" w:lineRule="auto"/>
      </w:pPr>
      <w:r>
        <w:rPr>
          <w:rFonts w:ascii="宋体" w:hAnsi="宋体" w:eastAsia="宋体" w:cs="宋体"/>
          <w:color w:val="000"/>
          <w:sz w:val="28"/>
          <w:szCs w:val="28"/>
        </w:rPr>
        <w:t xml:space="preserve">（5）无形资本（Intangible Capital）包括人力资本与社会资本。人力资本是一个国家的民众所具备的知识、经验和技能；社会资本是指维系社会存在、运作与发展的制度关系、组织规范和信息结构等无形财富的总和，在很大程度上，它是一个国家文化传统和历史经验长期积淀的结果。世界银行专家对无形资本测度的基本思路是：如果将国民经济的产出或收入看作是生产资产、自然资源和人力资源的共同产物，那么剔除与生产资产、自然资源和国外净资产相匹配的份额，剩余的就是核算期期末无形资本的存量价值。严格来讲这一结果应该被称为“无形资本剩余”，因为其中不仅仅包括人力资本与社会资本，还包括在国民财富中不属于前面那些部分的所有内容，比如海洋资源的价值。</w:t>
      </w:r>
    </w:p>
    <w:p>
      <w:pPr>
        <w:ind w:left="0" w:right="0" w:firstLine="560"/>
        <w:spacing w:before="450" w:after="450" w:line="312" w:lineRule="auto"/>
      </w:pPr>
      <w:r>
        <w:rPr>
          <w:rFonts w:ascii="宋体" w:hAnsi="宋体" w:eastAsia="宋体" w:cs="宋体"/>
          <w:color w:val="000"/>
          <w:sz w:val="28"/>
          <w:szCs w:val="28"/>
        </w:rPr>
        <w:t xml:space="preserve">&gt;3、对国民财富核算的评价</w:t>
      </w:r>
    </w:p>
    <w:p>
      <w:pPr>
        <w:ind w:left="0" w:right="0" w:firstLine="560"/>
        <w:spacing w:before="450" w:after="450" w:line="312" w:lineRule="auto"/>
      </w:pPr>
      <w:r>
        <w:rPr>
          <w:rFonts w:ascii="宋体" w:hAnsi="宋体" w:eastAsia="宋体" w:cs="宋体"/>
          <w:color w:val="000"/>
          <w:sz w:val="28"/>
          <w:szCs w:val="28"/>
        </w:rPr>
        <w:t xml:space="preserve">国民财富核算是可持续发展测度的有益创新</w:t>
      </w:r>
    </w:p>
    <w:p>
      <w:pPr>
        <w:ind w:left="0" w:right="0" w:firstLine="560"/>
        <w:spacing w:before="450" w:after="450" w:line="312" w:lineRule="auto"/>
      </w:pPr>
      <w:r>
        <w:rPr>
          <w:rFonts w:ascii="宋体" w:hAnsi="宋体" w:eastAsia="宋体" w:cs="宋体"/>
          <w:color w:val="000"/>
          <w:sz w:val="28"/>
          <w:szCs w:val="28"/>
        </w:rPr>
        <w:t xml:space="preserve">（1）基于存量视角的可持续发展测度。国民财富核算的研究对象是财富存量，认为财富存量是可持续发展能力的基础与来源，并试图通过核算的结果来说明财富存量与可持续发展之间的内在联系。以往的关于可持续发展的测度研究比如绿色GDP、SEEA等大都集中于流量核算，相比之下国民财富核算基于存量的研究视角具有一定的开创性与独特性。基于流量视角的可持续发展测度是有优势的，其注重的是经济发展对于社会与环境的影响，因此所需要考虑的问题很简单，就是经济成果、资源消耗与环境影响。这三者的测度方法研究已经很成熟，所以目前的可持续发展测度以流量测度为主。但是基于存量的国民财富核算需要考虑的问题则要宽泛得多，除了以上三者之处，还需要考虑社会、人力资源等方面，因此它能够提供的信息也更多。</w:t>
      </w:r>
    </w:p>
    <w:p>
      <w:pPr>
        <w:ind w:left="0" w:right="0" w:firstLine="560"/>
        <w:spacing w:before="450" w:after="450" w:line="312" w:lineRule="auto"/>
      </w:pPr>
      <w:r>
        <w:rPr>
          <w:rFonts w:ascii="宋体" w:hAnsi="宋体" w:eastAsia="宋体" w:cs="宋体"/>
          <w:color w:val="000"/>
          <w:sz w:val="28"/>
          <w:szCs w:val="28"/>
        </w:rPr>
        <w:t xml:space="preserve">（2）扩展了财富的概念。国民财富核算将财富分成4部分，其中的无形资本、生产资本是传统核算的重点，但是它首次将自然资本作为财富的重要构成部分，并且核算结果显示，在部分国家，自然资本是国民财富最重要的构成。可持续发展强调社会、经济、自然环境3个系统之间的相互协调，国民财富核算扩展了财富的概念，不再仅限于经济学的经济资产，而且包括自然方面、人力方面和社会方面。</w:t>
      </w:r>
    </w:p>
    <w:p>
      <w:pPr>
        <w:ind w:left="0" w:right="0" w:firstLine="560"/>
        <w:spacing w:before="450" w:after="450" w:line="312" w:lineRule="auto"/>
      </w:pPr>
      <w:r>
        <w:rPr>
          <w:rFonts w:ascii="宋体" w:hAnsi="宋体" w:eastAsia="宋体" w:cs="宋体"/>
          <w:color w:val="000"/>
          <w:sz w:val="28"/>
          <w:szCs w:val="28"/>
        </w:rPr>
        <w:t xml:space="preserve">（3）将资产组合投资管理的概念引入可持续发展规划。引发可持续发展讨论的一个重要因素就是自然资本，尤其是可耗竭资源的稀缺性。此时，将经济发展看作是资产组合投资管理的概念就非常有用了，国民财富中某些资产（主要是自然资本）是可耗竭的，只能通过资源租金的投资转化为其他的生产资产或人力资本。其他资产是可以再生的，能够获得持续性的收益。最优的投资边际回报为投资提供了依据。这一概念对于资源依赖型国家尤为重要。对于这些国家来说，简单地减少自然资源开发，显然是不现实的，因为这样会使国家经济陷入更深的困境，但是对自然资源和环境实施有效管理，增加生产资产的投资，以及紧密结合其他投资来增加对人力资本的投资，进行各种制度和社会结构的构建，促进社会资本的成长，是可以做到的。这样的公共政策对保护资源存量和财富存量具有重大的意义，而这也是重要的国民财富政策建议之一。</w:t>
      </w:r>
    </w:p>
    <w:p>
      <w:pPr>
        <w:ind w:left="0" w:right="0" w:firstLine="560"/>
        <w:spacing w:before="450" w:after="450" w:line="312" w:lineRule="auto"/>
      </w:pPr>
      <w:r>
        <w:rPr>
          <w:rFonts w:ascii="宋体" w:hAnsi="宋体" w:eastAsia="宋体" w:cs="宋体"/>
          <w:color w:val="000"/>
          <w:sz w:val="28"/>
          <w:szCs w:val="28"/>
        </w:rPr>
        <w:t xml:space="preserve">国民财富核算的几点不足</w:t>
      </w:r>
    </w:p>
    <w:p>
      <w:pPr>
        <w:ind w:left="0" w:right="0" w:firstLine="560"/>
        <w:spacing w:before="450" w:after="450" w:line="312" w:lineRule="auto"/>
      </w:pPr>
      <w:r>
        <w:rPr>
          <w:rFonts w:ascii="宋体" w:hAnsi="宋体" w:eastAsia="宋体" w:cs="宋体"/>
          <w:color w:val="000"/>
          <w:sz w:val="28"/>
          <w:szCs w:val="28"/>
        </w:rPr>
        <w:t xml:space="preserve">（1）国民财富核算属于弱的可持续发展范式。国民财富核算的结果是4种资本形式的简单叠加，这也就说明它是认可不同形式的资本之间是可以相互替代的，因此它属于弱的可持续发展范式。在可持续发展理论的发展中，逐渐形成强与弱两种相对的可持续发展范式，二者争论的焦点在于：自然资本是否可以被替代。弱可持续性范式认为是可以实现替代的，而强可持续性范式则反对替代。国民财富的政策建议非常明确，财富存量不能减少，但是对于财富结构的问题却并没有做出足够的、具有说服力的解释。因为其认可资本之间的完全替代关系，这也就意味着在消耗自然资本的同时，只要增加足够的人造资本或无形资本，仍然可以维持财富总量不减少。所以，国民财富核算基于弱可持续性范式的理论基础是存在先天缺陷的，这种缺陷限制了其本身的科学性和严谨性，使其在对可持续发展能力的判断上较为模糊。</w:t>
      </w:r>
    </w:p>
    <w:p>
      <w:pPr>
        <w:ind w:left="0" w:right="0" w:firstLine="560"/>
        <w:spacing w:before="450" w:after="450" w:line="312" w:lineRule="auto"/>
      </w:pPr>
      <w:r>
        <w:rPr>
          <w:rFonts w:ascii="宋体" w:hAnsi="宋体" w:eastAsia="宋体" w:cs="宋体"/>
          <w:color w:val="000"/>
          <w:sz w:val="28"/>
          <w:szCs w:val="28"/>
        </w:rPr>
        <w:t xml:space="preserve">（2）国民财富核算没有对无形资本进行有效的测算。国民财富核算最大的创新点在于突出了无形资本（人力资本+社会资本）在财富中的重要地位，说明了无形资本在实现可持续发展中的特殊作用，但是并没有提出具体的核算方法，仅仅是将总财富价值减去人造资本和自然资本之后的差值作为无形资本价值的做法是很粗糙的。对于各个国家人均无形资本的巨大差异，世界银行也没有能够给出具有说服力的解释。世界银行在计算无形资本的形式上，也容易让人引起误解：在生产资本与自然资本固定的同时，我们是否可以通过增加总财富的价值来提升无形资本？而总财富又是根据可持续性消费能力来计算的，这就是说增加消费就能够增加总财富，继而增加无形资本的价值？无形资本的问题还远远不止这些，如果在未来世界银行无法解决对于人力资本与社会资本的核算方法问题，国民财富核算对于无形资本的创新就只能是停留在纸面上的理论创新而已。</w:t>
      </w:r>
    </w:p>
    <w:p>
      <w:pPr>
        <w:ind w:left="0" w:right="0" w:firstLine="560"/>
        <w:spacing w:before="450" w:after="450" w:line="312" w:lineRule="auto"/>
      </w:pPr>
      <w:r>
        <w:rPr>
          <w:rFonts w:ascii="宋体" w:hAnsi="宋体" w:eastAsia="宋体" w:cs="宋体"/>
          <w:color w:val="000"/>
          <w:sz w:val="28"/>
          <w:szCs w:val="28"/>
        </w:rPr>
        <w:t xml:space="preserve">（3）国民财富核算对金融资产核算重视不足。金融资产已经成为一个国家财富的重要组成部分，这是一个不争的事实。但是按照目前国民财富对于资本的分类，却很难将其归为生产资本或者是其他资本形式之中。SNA的改革对于金融资产核算尤为重视，进一步完善核算方法，力图更全面地反映金融资产对于国民经济的影响，而国民财富核算却未将其完全纳入核算范围，这显然使人们对其核算结果的真实性产生质疑。在财富核算中，出现了一个新的指标即国外净资产，主要就是针对金融资产的价值规模。可以说这一指标的出现是对之前财富核算忽视金融核算的一个改进与修正，但是这个指标仅仅是一个国内外金融活动的平衡项，是否可以真实地反映一个国家的金融资产规模，存在较大的疑问。</w:t>
      </w:r>
    </w:p>
    <w:p>
      <w:pPr>
        <w:ind w:left="0" w:right="0" w:firstLine="560"/>
        <w:spacing w:before="450" w:after="450" w:line="312" w:lineRule="auto"/>
      </w:pPr>
      <w:r>
        <w:rPr>
          <w:rFonts w:ascii="宋体" w:hAnsi="宋体" w:eastAsia="宋体" w:cs="宋体"/>
          <w:color w:val="000"/>
          <w:sz w:val="28"/>
          <w:szCs w:val="28"/>
        </w:rPr>
        <w:t xml:space="preserve">（4）国民财富核算并没有提出有效明确的增加财富的建议。进行国民财富核算的目的是为了揭示财富、福利与可持续发展的关系，而其最终目的是让政策制定者，制定出有效、合适的政策增加国民福利，实现可持续发展。但是显然，目前的国民财富核算并没有提出具有可行性的执行方案，换句话说就是国民财富核算还是没有告诉我们，为了实现可持续发展应该做什么。如果说国民财富越多，我们所拥有的国民福利就越多，那我们只需要增加财富就可以了。而在目前的财富的计算方法下，国民财富等于持续的消费，因此我们只需要增加消费就可以增加国民财富[3]。这种逻辑显然是一种悖论，而国民财富另一个政策建议就是要增加对无形资本的投资，但是在部分欠发达国家温饱问题尚未解决的情况下，将经济成果投入到无形资本中显然也是不现实的。总之，现阶段对于国民财富并没有提出足够的、具有切实可行性的政策建议，这也会影响到它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第六篇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第七篇</w:t>
      </w:r>
    </w:p>
    <w:p>
      <w:pPr>
        <w:ind w:left="0" w:right="0" w:firstLine="560"/>
        <w:spacing w:before="450" w:after="450" w:line="312" w:lineRule="auto"/>
      </w:pPr>
      <w:r>
        <w:rPr>
          <w:rFonts w:ascii="宋体" w:hAnsi="宋体" w:eastAsia="宋体" w:cs="宋体"/>
          <w:color w:val="000"/>
          <w:sz w:val="28"/>
          <w:szCs w:val="28"/>
        </w:rPr>
        <w:t xml:space="preserve">一、人文社科科研激励机制的现状及存在的问题</w:t>
      </w:r>
    </w:p>
    <w:p>
      <w:pPr>
        <w:ind w:left="0" w:right="0" w:firstLine="560"/>
        <w:spacing w:before="450" w:after="450" w:line="312" w:lineRule="auto"/>
      </w:pPr>
      <w:r>
        <w:rPr>
          <w:rFonts w:ascii="宋体" w:hAnsi="宋体" w:eastAsia="宋体" w:cs="宋体"/>
          <w:color w:val="000"/>
          <w:sz w:val="28"/>
          <w:szCs w:val="28"/>
        </w:rPr>
        <w:t xml:space="preserve">目前各类院校中人文社科科研激励机制大概可以分为以下几类:一是项目管理激励制度，即通过对不同等级的科研项目，给予不同金额的配套经费实现奖励的激励机制。二是科研成果奖励制度，即对高水平论文、优秀著作等成果的配套奖励。三是职称评定制度，即把科研情况与职称评定捆绑在一起，通过职称及相应收入来体现对科研能力的奖励。四是人才激励制度，即通过开展不同层次的学者资助计划、人才培养计划及评定各类学术头衔等活动，实现对人才的激励。上述内容丰富、形式多样的激励制度，在一定程度上激发了高校教师从事科研工作的积极性、主动性和创造性，取得了良好的效果。但仍然存在许多问题，甚至产生了一些弊端。</w:t>
      </w:r>
    </w:p>
    <w:p>
      <w:pPr>
        <w:ind w:left="0" w:right="0" w:firstLine="560"/>
        <w:spacing w:before="450" w:after="450" w:line="312" w:lineRule="auto"/>
      </w:pPr>
      <w:r>
        <w:rPr>
          <w:rFonts w:ascii="宋体" w:hAnsi="宋体" w:eastAsia="宋体" w:cs="宋体"/>
          <w:color w:val="000"/>
          <w:sz w:val="28"/>
          <w:szCs w:val="28"/>
        </w:rPr>
        <w:t xml:space="preserve">(一)科研激励机制重成果轻人本，重结果轻过程教师是各类院校科研工作的主体，各项课题的获得、科研成果的产出，都是教师付出辛勤劳动的结果。因此，科研激励的对象应该是教师而不是成果。而目前的科研激励机制普遍缺乏“以人为本”的理念，缺少对教师的关怀，激励的对象错位为科研项目、科研成果及各类评奖结果，激励的方式也以“事后奖励”为主，形成一切以“成果”论的现象。也正因为过于重视“成果”，而对科研的过程有所忽略。这样一来，一方面助长了急功近利之风，人心浮躁，追求“短、平、快”，缺乏“甘坐十载冷板凳”、厚积而薄发的良好科研氛围;另一方面，奖励“成果”的相对集中，对科研过程的重视不够，则使多数教师的研究积极性、主动性和创造性受到打击，不利于科研工作的可持续发展。</w:t>
      </w:r>
    </w:p>
    <w:p>
      <w:pPr>
        <w:ind w:left="0" w:right="0" w:firstLine="560"/>
        <w:spacing w:before="450" w:after="450" w:line="312" w:lineRule="auto"/>
      </w:pPr>
      <w:r>
        <w:rPr>
          <w:rFonts w:ascii="宋体" w:hAnsi="宋体" w:eastAsia="宋体" w:cs="宋体"/>
          <w:color w:val="000"/>
          <w:sz w:val="28"/>
          <w:szCs w:val="28"/>
        </w:rPr>
        <w:t xml:space="preserve">(二)科研激励机制中的成果评价体系重数量轻质量现行激励制度中，无论是职称评定还是科研奖励，其实施的依据都是建立在科研成果评价体系之上的。但现行的人文社科科研成果评价体系主要采取的是量化考核方法，考核中量化更多的是成果数量，而对成果的质量重视不够。比如，在评价考核时不会审阅原文质量，仅比较科研项目的级别、成果的数量及刊物级别。这实际上就是发出“重数量轻质量”的不良导向，成为科研中急功近利和浮躁心理的推手。教师在科研工作中会片面追求科研成果的数量及成果发表的期刊级别，对成果质量重视不足，使得人文社科研究周期大大缩短，研究价值下滑，一定程度上滋长了弄虚作假之风，造成了学术腐败现象的扩大。同时，科研人员争发高等级期刊，导致一些质量很高的辑刊及论文集缺乏稿件;由于经济利益、人情交易等原因，部分高等级期刊的权威性也逐渐下降。这些现象对人文社科研究工作的发展产生了不利的影响。</w:t>
      </w:r>
    </w:p>
    <w:p>
      <w:pPr>
        <w:ind w:left="0" w:right="0" w:firstLine="560"/>
        <w:spacing w:before="450" w:after="450" w:line="312" w:lineRule="auto"/>
      </w:pPr>
      <w:r>
        <w:rPr>
          <w:rFonts w:ascii="宋体" w:hAnsi="宋体" w:eastAsia="宋体" w:cs="宋体"/>
          <w:color w:val="000"/>
          <w:sz w:val="28"/>
          <w:szCs w:val="28"/>
        </w:rPr>
        <w:t xml:space="preserve">(三)科研激励机制中精神激励与物质激励不平衡，形式过于单一物质激励和精神激励是两个同等重要的激励因素。人文社科研究本身更多的是一种精神追求，大多数研究者潜心钻研，甘坐冷板凳，也更渴求一种精神上的满足和愉悦，因此，“科研激励较之其他方面的激励以其独特的方式进行，以精神激励为主、物质奖励为辅的观念根深蒂固”［2］。从程刚等人的调研情况看，目前多数教师对人文社科科研激励机制中的精神激励还是比较满意的，但对物质激励的满意度较低。［3］比如，教育部及各个省市的人文社科优秀成果奖，往往会举行隆重的颁奖大会、颁发获奖证书等，但物质奖励较少，主要是象征意义，物质奖励的激励作用有限;又如，科研成果奖励方面，尽管有些学校发放科研奖励的金额已是相当可观，但相对课酬等其他收入来说还是相形见绌，加上科研工作比教学工作难度更大，导致不少教师更愿意将精力花费在教学工作之上，削弱了科研奖励对教师的激励作用。与此同时，现行的精神激励形式也过于单一，大多都是举行颁奖仪式获奖者上台领奖，媒体宣传报道等等，内容老套，形式单一，难以持续发挥较好的激励作用。</w:t>
      </w:r>
    </w:p>
    <w:p>
      <w:pPr>
        <w:ind w:left="0" w:right="0" w:firstLine="560"/>
        <w:spacing w:before="450" w:after="450" w:line="312" w:lineRule="auto"/>
      </w:pPr>
      <w:r>
        <w:rPr>
          <w:rFonts w:ascii="宋体" w:hAnsi="宋体" w:eastAsia="宋体" w:cs="宋体"/>
          <w:color w:val="000"/>
          <w:sz w:val="28"/>
          <w:szCs w:val="28"/>
        </w:rPr>
        <w:t xml:space="preserve">(四)科研激励机制中的政策措施“一刀切”，效果有限各类院校现行的科研激励政策措施，一般全校实施同一政策，即“一刀切”的方式。这在实施过程中，必然只能对一部分教师产生有效的激励，而挫伤了另一部分教师尤其是青年教师的科研积极性。青年教师正处于事业和生活的起步阶段，生活压力大，教学任务重，同时科研能力也正处于起步和积累阶段，短期之内，难以获得高级别的科研项目，也难得发表高级别的科研成果。当前的激励政策对青年教师和已有高级职称甚至有一定学术地位的教师，采取同样的激励标准，容易挫伤青年教师的积极性。比如许多院校科研奖励的学术论文一般要求发表在SSCI、A＆HCI期刊以及《中国社会科学》等权威期刊上，这对青年教师来说是相当困难的，长此以往必将挫伤青年教师的积极性。而另一方面，在高等级期刊上对有高级职称或一定学术地位、科研能力较强的教师来说，又是相对容易的，对他们而言实现目标又缺乏挑战性，也不能很有效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二、深化人文社科科研激励机制改革，营造良好科研环境</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战略部署，提出了“以科学发展观为指导”，“以促进社会公平正义、增进人民福祉为出发点和落脚点，进一步解放思想、解放和发展社会生产力、解放和增强社会活力，坚决破除各方面体制机制弊端”的总要求，并明确指出，要“让一切劳动、知识、技术、管理、资本的活力竞相迸发，让一切创造社会财富的源泉充分涌流”。人文社科科研激励机制正是要调动科研人员的积极性、主动性和创造性，要激发科研人员的活力，以创造出更多的社会精神财富。而这一激励机制既然存在前文所述的问题和弊端，就必然应作出相应的改革，为人文社科科研营造更加良好的科研氛围和环境，以利于人文社会科学的繁荣和发展。</w:t>
      </w:r>
    </w:p>
    <w:p>
      <w:pPr>
        <w:ind w:left="0" w:right="0" w:firstLine="560"/>
        <w:spacing w:before="450" w:after="450" w:line="312" w:lineRule="auto"/>
      </w:pPr>
      <w:r>
        <w:rPr>
          <w:rFonts w:ascii="宋体" w:hAnsi="宋体" w:eastAsia="宋体" w:cs="宋体"/>
          <w:color w:val="000"/>
          <w:sz w:val="28"/>
          <w:szCs w:val="28"/>
        </w:rPr>
        <w:t xml:space="preserve">(一)深化人文社科科研激励机制应把握的几个基本原则党的十八届三中全会提出，全面深化改革“必须更加注重改革的系统性、整体性、协同性”。深化人文社科科研激励机制改革同样如此，要全面系统地思考，确立改革的总思路和基本原则，然后才能能制定具体的改革方案和措施。我们认为，人文社科科研激励机制改革应该把握以下几个基本原则:</w:t>
      </w:r>
    </w:p>
    <w:p>
      <w:pPr>
        <w:ind w:left="0" w:right="0" w:firstLine="560"/>
        <w:spacing w:before="450" w:after="450" w:line="312" w:lineRule="auto"/>
      </w:pPr>
      <w:r>
        <w:rPr>
          <w:rFonts w:ascii="宋体" w:hAnsi="宋体" w:eastAsia="宋体" w:cs="宋体"/>
          <w:color w:val="000"/>
          <w:sz w:val="28"/>
          <w:szCs w:val="28"/>
        </w:rPr>
        <w:t xml:space="preserve">1、建立系统的体制机制。一个好的制度的实现，必须要有一个与之相匹配的、系统的体制机制。系统的体制机制不仅能让制度更好地规范化、程序化地执行，而且能很好地统筹协调各方面关系，保证制度的有效实施。目前各类院校都有自己的科研激励制度，也有主导者、主持者及具体的激励办法和操作程序，但从体制机制的层面来看，尚处于松散状态。如课题项目的评比、科研成果的评比与职称评定中的成果评价之间既有联系又有区别，之间的关联性体现不足，未形成系统的体制机制。</w:t>
      </w:r>
    </w:p>
    <w:p>
      <w:pPr>
        <w:ind w:left="0" w:right="0" w:firstLine="560"/>
        <w:spacing w:before="450" w:after="450" w:line="312" w:lineRule="auto"/>
      </w:pPr>
      <w:r>
        <w:rPr>
          <w:rFonts w:ascii="宋体" w:hAnsi="宋体" w:eastAsia="宋体" w:cs="宋体"/>
          <w:color w:val="000"/>
          <w:sz w:val="28"/>
          <w:szCs w:val="28"/>
        </w:rPr>
        <w:t xml:space="preserve">2、树立“以人为本”的理念。科研激励机制的实施对象是各类院校的教师，是要激发、调动教师开展科研工作的积极性、主动性和创造性，所以必须牢牢树立“以人为本”的理念，充分体现其为人服务的目的。因此，激励机制处处都应以服务教师、促进科研为根本点和出发点，各项配套制度的改革完善都要体现这一理念，体现对教师的关爱。</w:t>
      </w:r>
    </w:p>
    <w:p>
      <w:pPr>
        <w:ind w:left="0" w:right="0" w:firstLine="560"/>
        <w:spacing w:before="450" w:after="450" w:line="312" w:lineRule="auto"/>
      </w:pPr>
      <w:r>
        <w:rPr>
          <w:rFonts w:ascii="宋体" w:hAnsi="宋体" w:eastAsia="宋体" w:cs="宋体"/>
          <w:color w:val="000"/>
          <w:sz w:val="28"/>
          <w:szCs w:val="28"/>
        </w:rPr>
        <w:t xml:space="preserve">3、深刻把握两项基本规律。一是深刻把握人文社会科学科研工作的基本规律，二是深刻把握人文社科科研人员的成长规律。人文社科研究与自然科学研究、基础研究及应用研究之间，有较大的区别。人文社科，尤其是文史哲等基础学科的研究，需要翻阅大量的文字资料积淀素材，再通过严密的考证、缜密的分析、潜心的研究才可能得出结论，因此研究周期长，成果产出慢，且研究成果不易量化，没有直接的社会效益。其研究人员的成长也是相对缓慢，需要长期的学术积累，不仅要积累原始资料，而且要全面了解、掌握已有成果，还要不断吸纳新知识新方法，特别是当今学科交叉越来越复杂的情况下，还要掌握一定的跨学科跨领域的研究方法。因此，改革完善后的激励机制，应该是一个符合人文社科研究特点、符合其成果产出规律和人才成长规律的激励机制。</w:t>
      </w:r>
    </w:p>
    <w:p>
      <w:pPr>
        <w:ind w:left="0" w:right="0" w:firstLine="560"/>
        <w:spacing w:before="450" w:after="450" w:line="312" w:lineRule="auto"/>
      </w:pPr>
      <w:r>
        <w:rPr>
          <w:rFonts w:ascii="宋体" w:hAnsi="宋体" w:eastAsia="宋体" w:cs="宋体"/>
          <w:color w:val="000"/>
          <w:sz w:val="28"/>
          <w:szCs w:val="28"/>
        </w:rPr>
        <w:t xml:space="preserve">4、充分运用“分类分层”管理原则。“分类分层”管理是管理学原理中的基本理论之一，它有利于在统一管理的前提下，按管理对象的特点，有针对性地实施具体管理办法，提高效能。人文社会科学科研的领域比较广泛，既有基础学科，也有应用学科，既有纯文科类的学科，也有文理兼容的学科;研究人员也存在较大差别，既有知名学者、知名专家，又有一般学者、新手，在年龄、职称、能力等方面差距也很突出，因此在改革完善激励机制时，很有必要运用“分类分层”管理的原则，以便统筹协调，更好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(二)深化人文社科科研激励机制改革的几点具体建议针对目前人文社科科研激励机制中存在的问题，结合上述几个基本原则，我们在这里对深化科研激励机制改革提出几点具体的建议:</w:t>
      </w:r>
    </w:p>
    <w:p>
      <w:pPr>
        <w:ind w:left="0" w:right="0" w:firstLine="560"/>
        <w:spacing w:before="450" w:after="450" w:line="312" w:lineRule="auto"/>
      </w:pPr>
      <w:r>
        <w:rPr>
          <w:rFonts w:ascii="宋体" w:hAnsi="宋体" w:eastAsia="宋体" w:cs="宋体"/>
          <w:color w:val="000"/>
          <w:sz w:val="28"/>
          <w:szCs w:val="28"/>
        </w:rPr>
        <w:t xml:space="preserve">1、加强“事前激励”，重视综合评价，营造宽松氛围。一方面，学校应为教师创造良好的学术条件和环境，改变单纯“事后激励”的方式，增加“事前激励”的部分。包括但不仅限于提高教师待遇和地位，改善办公条件，增加部级、省部级项目的配套经费额度，设立更多培育项目，并向暂时没有项目的教师倾斜，争取保证每位教师的科研工作都能到不同层次、不同程度的激励，使他们可以沉下心来，踏踏实实从事学术研究，推出有份量的精品力作。另一方面，学校要重视对教师的综合评价，营造宽松、自由的学术氛围，宽容失败，鼓励创新，对于那些暂时未能产出成果的教师，同样应该也给予一定的物质和精神激励。英国人怀尔斯在1985年成为普林斯顿大学教授以后，九年未发表一篇论文，但校方仍然一如既往地善待他，结果，他在1995年宣布破解了世界级的数学难题———费马大定理。又如武汉大学设立了“70后学术团队建设计划”，以项目的形式给青年学术团队一定的经费支持，且并未下达硬性的成果产出任务指标。但学校对团队建设过程高度重视，全程关注、指导及督促，大大鼓舞了广大青年学者，产出了很多高质量的成果，取得了良好的效果。</w:t>
      </w:r>
    </w:p>
    <w:p>
      <w:pPr>
        <w:ind w:left="0" w:right="0" w:firstLine="560"/>
        <w:spacing w:before="450" w:after="450" w:line="312" w:lineRule="auto"/>
      </w:pPr>
      <w:r>
        <w:rPr>
          <w:rFonts w:ascii="宋体" w:hAnsi="宋体" w:eastAsia="宋体" w:cs="宋体"/>
          <w:color w:val="000"/>
          <w:sz w:val="28"/>
          <w:szCs w:val="28"/>
        </w:rPr>
        <w:t xml:space="preserve">2、进一步完善科研成果评价体系，使其更符合人文社科发展的特点和规定，并具有长效的约束性和激励作用。首先，要改变重“量”轻“质”评价取向，转向“质”、“量”并举，以“质”划等。不再单纯以成果数量的多少和级别的高低来评价科研成果，不再将成果数量及级别与科研人员的经济利益及职称评定简单挂钩;而是应该采取科学合理的综合评价方法，加强对科研成果质量的考察，要突出标志性成果、代表性成果的评价地位。从而引导教师树立精品意识，激励他们潜心钻研，产出高水平的、标志性的科研成果。其次，在科研成果质量的评价上，要坚持公开、公正、民主、科学的原则，要注重评价方法的多样性与合理性，采取定量评价与定性评价相结合的方法，并以定性评价为主。人文社科类科研成果由于缺乏直接的经济效益，其价值的体现受多种因素影响，单纯的定量评价是不适合的;但由于学术优劣的评判标准难以被客观化，更多依赖专家学者的判断力，导致单纯的定性评价不可避免地具有一定的主观性和不确定性。因此，在对人文社科科研成果的评价过程中，单纯地依靠定量评价或定性评价都不能完全客观、准确地对成果本身作出评定，只有二者结合起来才能更公正、合理地反映科研成果的真正价值。同时，在对科研成果的定性评价中，也要注意工作方法。因为人文社科科研成果的价值评价更多依赖评价专家的主观判断，容易受其知识结构、学术视野、学术偏好、人情关系等因素的干扰。因此一方面要注重内部评价和外部评价相结合，以外部评价为主。内外部评价互相制约，避免近亲繁殖现象。另一方面要将公开评价和盲评相结合，以盲评为主，保证评价的客观性和公正性。最后，应该注重评价体系的长效性，拉长评估周期。俗话说“十年磨一剑”，因此各院校在制定科研成果评价政策时要改变重短期目标轻长期目标、重数量轻质量的习惯做法，要鼓励研究人员“板凳要坐十年冷，文章不写一句空”的诚实学风，拉长评估周期，鼓励他们产出高质量的学术精品。如茅海建先生在用了十余年时间搜集史料、深入思考后，经过两年潜心写作才最终推出大作《天朝的崩溃———_战争再研究》一书。由武汉大学中国三至九世纪研究所主持整理的《唐长孺文集》，更是历时八年之久才最终出版。</w:t>
      </w:r>
    </w:p>
    <w:p>
      <w:pPr>
        <w:ind w:left="0" w:right="0" w:firstLine="560"/>
        <w:spacing w:before="450" w:after="450" w:line="312" w:lineRule="auto"/>
      </w:pPr>
      <w:r>
        <w:rPr>
          <w:rFonts w:ascii="宋体" w:hAnsi="宋体" w:eastAsia="宋体" w:cs="宋体"/>
          <w:color w:val="000"/>
          <w:sz w:val="28"/>
          <w:szCs w:val="28"/>
        </w:rPr>
        <w:t xml:space="preserve">3、将精神激励和物质激励结合起来，最大限度地激发教师科研的积极性和创造性。尽管教师在学术研究过程中能取得精神上的满足和愉悦，但经济回报过低，精力投入、成果产出与经济产出不成比例，对他们从事科研工作的积极性或多或少会产生不良影响。因此，各院校科研管理部门应该采取各种方式加大物质激励的力度。如增加各种奖项的奖金金额，将科研项目作为物质激励的补充，加大科研奖励力度，特别是要注重调节教师科研收入与其他收入的比例。在精神激励方面，学校要更新对精神激励内涵和外延的认识，采取广泛、灵活的精神激励方式满足教师的精神需求，保持他们科研的积极性。比如可以通过横纵向比较的方式使教师实现多种方式的“自我评价”，可以通过各类媒体特别是新媒体，为教师提供展示自己的平台等。</w:t>
      </w:r>
    </w:p>
    <w:p>
      <w:pPr>
        <w:ind w:left="0" w:right="0" w:firstLine="560"/>
        <w:spacing w:before="450" w:after="450" w:line="312" w:lineRule="auto"/>
      </w:pPr>
      <w:r>
        <w:rPr>
          <w:rFonts w:ascii="宋体" w:hAnsi="宋体" w:eastAsia="宋体" w:cs="宋体"/>
          <w:color w:val="000"/>
          <w:sz w:val="28"/>
          <w:szCs w:val="28"/>
        </w:rPr>
        <w:t xml:space="preserve">4、建立健全科学合理的分类分层激励政策，全方位发挥激励机制的效能。“某种意义上说，科研激励制度建设成功的关键是使每一位教师都感觉到有动力和压力，挖掘每位教师的科研潜力，而且通过努力以后能达到这一目标。”［5］即我们常说的“跳起来摘桃子”理论。分类分层激励，就是要让不同类别、不同层次的教师经过自身努力获得精神和物质奖励。这就要求激励机制中的评价标准、奖励方式不能“一刀切”，而是对不同类别、不同层次的教师设置不同的目标和标准，在奖励方式上也有所区别。比如青年教师往往经济压力大，可以在物质激励方面加大比重。而对于年纪较大、已经获得一定科研基础、职务较高的教师，则应该在物质激励的基础上，更多采用精神激励的方式。现在许多学校在这方面已开始有所探索，如武汉大学针对研究水平较高的教师设立“高水平科研论文培育项目”，为老师们在SSCI、A＆HCI期刊发表高水平论文提供资助;与此同时，武汉大学的自主科研项目则倾向于给没有获得过项目资助的青年老师，大力鼓励和扶持青年教师开展科研工作，对青年教师的学术积累也提供了有效的帮助，从而充分发挥了激励机制的效能。</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第八篇</w:t>
      </w:r>
    </w:p>
    <w:p>
      <w:pPr>
        <w:ind w:left="0" w:right="0" w:firstLine="560"/>
        <w:spacing w:before="450" w:after="450" w:line="312" w:lineRule="auto"/>
      </w:pPr>
      <w:r>
        <w:rPr>
          <w:rFonts w:ascii="宋体" w:hAnsi="宋体" w:eastAsia="宋体" w:cs="宋体"/>
          <w:color w:val="000"/>
          <w:sz w:val="28"/>
          <w:szCs w:val="28"/>
        </w:rPr>
        <w:t xml:space="preserve">1科研成果评价体系缺乏科学性</w:t>
      </w:r>
    </w:p>
    <w:p>
      <w:pPr>
        <w:ind w:left="0" w:right="0" w:firstLine="560"/>
        <w:spacing w:before="450" w:after="450" w:line="312" w:lineRule="auto"/>
      </w:pPr>
      <w:r>
        <w:rPr>
          <w:rFonts w:ascii="宋体" w:hAnsi="宋体" w:eastAsia="宋体" w:cs="宋体"/>
          <w:color w:val="000"/>
          <w:sz w:val="28"/>
          <w:szCs w:val="28"/>
        </w:rPr>
        <w:t xml:space="preserve">目前，高校的科研成果评价体系大都以定量评价为主，即不管是对于所发表的学术论文还是对于所承担的科研项目，亦或是所获奖项等科研成果，都统一制定了一定的分值衡量标准，将难以衡量分量和水平的科研成果进行分值的量化，将科研成果换算为具体、确切的分值以实现对其的直观评价。具体地说，在进行科研成果评价时，按照主持科研项目的等级、数量，出版学术著作的、部数、字数，发表学术论文的篇数、等级，折算成具体、确切的分值，例如，西安科技大学对于人文社科学术论文的评价，是将发表在中国社会科学引文索引(CSSCI)上的论文，每篇计8分，发表在北大中文核心期刊上的论文，每篇计4分，发表在普通刊物上的论文，每篇计1分。这样一来，将难以衡量和评价的科研成果进行了有效的量化，能够很好地把握和进行有效评价，看上去是有一定的合理性和可行性的，但事实上，这种评价体系是缺乏科学性的，因为不同学科的科研应遵循不同的科研规律，人文社科不能完全用自然学科的量化指标来做硬性要求［4］。这种对于人文社科类科研成果的认定与评价是形式化、简单化的“一刀切”模式。显然，这种“一刀切”的科研成果评价体系缺乏科学性，不能够客观、公正地对人文社科类科研成果进行评价，也不利于形成良好的学术激励机制。</w:t>
      </w:r>
    </w:p>
    <w:p>
      <w:pPr>
        <w:ind w:left="0" w:right="0" w:firstLine="560"/>
        <w:spacing w:before="450" w:after="450" w:line="312" w:lineRule="auto"/>
      </w:pPr>
      <w:r>
        <w:rPr>
          <w:rFonts w:ascii="宋体" w:hAnsi="宋体" w:eastAsia="宋体" w:cs="宋体"/>
          <w:color w:val="000"/>
          <w:sz w:val="28"/>
          <w:szCs w:val="28"/>
        </w:rPr>
        <w:t xml:space="preserve">2创新理工类院校人文社科科研水平的管理</w:t>
      </w:r>
    </w:p>
    <w:p>
      <w:pPr>
        <w:ind w:left="0" w:right="0" w:firstLine="560"/>
        <w:spacing w:before="450" w:after="450" w:line="312" w:lineRule="auto"/>
      </w:pPr>
      <w:r>
        <w:rPr>
          <w:rFonts w:ascii="宋体" w:hAnsi="宋体" w:eastAsia="宋体" w:cs="宋体"/>
          <w:color w:val="000"/>
          <w:sz w:val="28"/>
          <w:szCs w:val="28"/>
        </w:rPr>
        <w:t xml:space="preserve">2．1更新科研管理理念如前所述，由于人文社科的学科建设、科研基础均较为薄弱，存在长期陈旧的科研管理理念，因此，对其的科研管理不够重视，呈现出松散、疏忽、轻视的状况，进而表现为人文社科科研项目的设立名额较少、经费投入不足。要彻底解决目前理工类院校中人文社科类科研工作的发展困境，最重要的一点就是学校和教育主管机构领导者必须改变观念，尊重人文科学科研规律［5］，更新科研管理观念，转变对于人文社科类项目的传统管理理念，从项目的选题立项、开题论证、申报审批、签订协议等前期工作，到项目的具体研究过程等中期工作，再到最后的结题验收、成果鉴定、技术推广等后期工作，都应该给予足够的重视，树立严格、规范的管理理念，提升管理水平，改善管理效果，加强对其的管理。具体地说，理工科院校的科研部门应改变以往对于科研重心的定位呈现出“一边倒”的取向，在实际的管理工作中，不论是在政策的制定还是在具体的实施过程中，做到既十分重视理工科科研项目的组织申报、验收、评奖等工作，对于人文社科类科研项目的组织申报、验收、评奖等相关工作也应加以足够的重视和应有的支持。2．2完善科研管理体制要实现对理工类院校人文社科科研管理的创新，应从人文社科自身的学科特点出发，建立一套行之有效的管理体制。首先，应该从管理理念上进行彻底的转变，科研管理部门应从管理思想上给予人文社科类科研以足够的重视，在管理目标、管理过程、管理方法等方面，都要充分尊重人文社科类科研项目的特点，强化服务理念和意识。相关的科研管理部门应从各方面给予人文社科青年教师以综合的科研管理服务，力图最大限度地发挥其科研创新能力和水平，帮助他们取得科研进步。其次，建立和完善各项科研管理规章制度，是人文社科研究得以长期健康发展的重要保证［6］。建立适合人文社科科研特征的科研管理体制，规范其科研组织过程和管理过程。相关科研管理人员应提高自身的科研管理素质，优化对人文社科类科研项目的管理规范和管理过程，实现对人文社科科研管理水平的提升。再次，可以尝试开掘新的管理体制，例如，改变目前科研管理工作过于集中的状况，充分调动院系科研管理的积极性，使其承担一定的科研管理工作责任，较好地发挥其科研管理工作的有效性和创造性。</w:t>
      </w:r>
    </w:p>
    <w:p>
      <w:pPr>
        <w:ind w:left="0" w:right="0" w:firstLine="560"/>
        <w:spacing w:before="450" w:after="450" w:line="312" w:lineRule="auto"/>
      </w:pPr>
      <w:r>
        <w:rPr>
          <w:rFonts w:ascii="宋体" w:hAnsi="宋体" w:eastAsia="宋体" w:cs="宋体"/>
          <w:color w:val="000"/>
          <w:sz w:val="28"/>
          <w:szCs w:val="28"/>
        </w:rPr>
        <w:t xml:space="preserve">2．3建立科学的人文社科类科研成果评价体系建立人文学科的科研成果评价的科学体系、机制，要充分尊重人文学科科研生产的规律、充分尊重学科个性和研究个性［7］。事实上，人文社科的学科性质决定了其与理工科有着截然不同的科研特点，即人文社科的研究具有基础性、长期性的特点，其科研成果及其价值的转化也不可能像理工科的科研成果那样能够在短期内快速而有效地得以获取和显现，它既不能产生立竿见影的科研效果，也不能在短期内立刻投入到生产实践活动中进而获得巨大的产出，从而带来巨大的经济收益。因此，在评价人文社科类科研成果的时候，就不能按照评价理工类科研成果的评价标准来评价它，而是要摒弃衡量理工类科研成果那种追求立竿见影的经济价值和社会效益的评价标准，要摒弃长期以来急功近利的浮躁心态。在制定科研成果评价体系时，应充分考虑到人文社科类科研基础性、长期性的特点，改变“短平快”的评价心理，建立科学的评价体系，树立将单纯重视科研短期目标向短期目标与中长期目标相结合转变、将单纯重视经济价值向重视经济价值和社会价值相结合转变、将单纯重数量向重数量与重质量相结合转变、将单纯定量向定量和定性相结合转变的评价理念。</w:t>
      </w:r>
    </w:p>
    <w:p>
      <w:pPr>
        <w:ind w:left="0" w:right="0" w:firstLine="560"/>
        <w:spacing w:before="450" w:after="450" w:line="312" w:lineRule="auto"/>
      </w:pPr>
      <w:r>
        <w:rPr>
          <w:rFonts w:ascii="宋体" w:hAnsi="宋体" w:eastAsia="宋体" w:cs="宋体"/>
          <w:color w:val="000"/>
          <w:sz w:val="28"/>
          <w:szCs w:val="28"/>
        </w:rPr>
        <w:t xml:space="preserve">3提高理工类院校人文社科科研水平的管理举措</w:t>
      </w:r>
    </w:p>
    <w:p>
      <w:pPr>
        <w:ind w:left="0" w:right="0" w:firstLine="560"/>
        <w:spacing w:before="450" w:after="450" w:line="312" w:lineRule="auto"/>
      </w:pPr>
      <w:r>
        <w:rPr>
          <w:rFonts w:ascii="宋体" w:hAnsi="宋体" w:eastAsia="宋体" w:cs="宋体"/>
          <w:color w:val="000"/>
          <w:sz w:val="28"/>
          <w:szCs w:val="28"/>
        </w:rPr>
        <w:t xml:space="preserve">3．1加强对人文社科科研项目的管理力度由于受到学校总体、长远建设定位和传统学科发展情况的限制，以及有限的资金制约，理工类院校的人文社科类科研项目，各方面条件都是无法与理工类项目相提并论的。针对这一状况，应充分尊重人文社科类科研项目的特点，加大对其的投入力度，增加人文社科科研项目立项比重和经费数量，为人文社科科研项目的申报提供有力条件。充分发挥人文社科的学科优势，重视其潜在学术价值和长远社会意义，充分发挥其学科优势和长处。此外，还应加强对人文社科科研项目过程的管理，这对于人文社科类科研项目的顺利完成是十分重要的。例如，《西安科技大学培育基金管理办法》、《西安科技大学博士科研启动金管理办法》等，都从制度上保证了科研项目的顺利开展和圆满完成。科研项目的管理一般是具有阶段性的，通常分为前期、中期和后期管理，人文社科类科研项目也不例外。对于人文社科类科研项目而言，从项目的选题立项、开题论证、申报审批、签订协议等前期工作，到项目的具体研究过程等中期工作，再到最后的结题验收、成果鉴定、技术推广等后期工作，都应进行严格而有序的管理工作，这是项目研究能够顺利进行和圆满完成的必要保障。</w:t>
      </w:r>
    </w:p>
    <w:p>
      <w:pPr>
        <w:ind w:left="0" w:right="0" w:firstLine="560"/>
        <w:spacing w:before="450" w:after="450" w:line="312" w:lineRule="auto"/>
      </w:pPr>
      <w:r>
        <w:rPr>
          <w:rFonts w:ascii="宋体" w:hAnsi="宋体" w:eastAsia="宋体" w:cs="宋体"/>
          <w:color w:val="000"/>
          <w:sz w:val="28"/>
          <w:szCs w:val="28"/>
        </w:rPr>
        <w:t xml:space="preserve">3．2转变人文社科科研项目的管理体制理工类院校对于科研工作的管理一般是由科技处完成的，但其下并没有设置专门负责管理人文社科类科研项目的具体机构，这样一来，“一刀切”的管理体制势必存在问题。因此，可以尝试设置负责组织、管理、研究人文社科类科研项目的专门机构，如西安科技大学科技处已经设立了人文社会科学科，实现了对科研项目分门别类的管理，这在本质上尊重和强调了人文社科科研工作的特点，体现了人文社科类科研管理工作是有别于理工类科研管理工作的。此外，在长期以来高度集中的行政管理体制的传统之下，理工类院校科研管理部门往往通过行政手段直接对校内所有院系的科研工作进行全面管理，这样以来，就存在管理层面较大、头绪纷繁复杂、管理权力过于集中等问题，因此，可以考虑适当扩大院系的科研管理权限，让其承担一定的科研管理工作的责任，充分而有效地调动院系科研项目管理的积极性和创造性，通过体制创新形成良好的学术科研氛围［8］。</w:t>
      </w:r>
    </w:p>
    <w:p>
      <w:pPr>
        <w:ind w:left="0" w:right="0" w:firstLine="560"/>
        <w:spacing w:before="450" w:after="450" w:line="312" w:lineRule="auto"/>
      </w:pPr>
      <w:r>
        <w:rPr>
          <w:rFonts w:ascii="宋体" w:hAnsi="宋体" w:eastAsia="宋体" w:cs="宋体"/>
          <w:color w:val="000"/>
          <w:sz w:val="28"/>
          <w:szCs w:val="28"/>
        </w:rPr>
        <w:t xml:space="preserve">3．3完善科研成果的评价方法人文社科自身的学科特点决定了其科研成果价值的体现受到许多因素的影响，不能简单地依靠量化的办法对其进行评价，这样的评价必定缺乏准确性和客观性。只有将定量评价与定性评价有机地结合起来对其进行评价，才能获得较为科学的评价结果。定量评价之前已经有所提及，它是各高校惯常使用的一种科研成果评价方法。定性评价最常用的是同行评议法，包括公开评议和匿名评议［9］，即邀请一些同行对人文社科类科研成果进行公开或匿名地评价。定性评价方法充分体现了人文社科类科研特点，打破了单一的、较适合衡量理工类科研成果的定量评价方法，提供了除去一些刚性衡量标准之外的、较为主观的评价方法。将定量评价与定性评价相结合，实质上是将客观评价与主观评价相结合，只有采用这种主客观互补的评价方法，能有可能对人文社科类科研成果进行一个较为客观、公正的评价。此外，还有许多不同于理工类科研评价方法的、较适合人文社社科类科研成果的评价方法。例如，应将短期评价与中长期评价相结合。人文社科类科研成果不能在短期内显现，收到立竿见影的效果，因此，在对其进行评价的时候，应将短期评价与中长期评价相结合，在一个较长的时间段内考查其所获得的科研成果的效用。再如，应将经济效益与社会价值相结合。人文社科类科研成果不能产生像理工类科研成果那样显性的经济收益，它的成果所产生的价值往往是隐性的、深远的、潜移默化的，因此，不能单一地用是否产生经济效益去评价和衡量其成果的大小和价值的高低，而是应该在考虑其经济效益的同时更多地考虑到它所产生的隐性而深远的社会价值。</w:t>
      </w:r>
    </w:p>
    <w:p>
      <w:pPr>
        <w:ind w:left="0" w:right="0" w:firstLine="560"/>
        <w:spacing w:before="450" w:after="450" w:line="312" w:lineRule="auto"/>
      </w:pPr>
      <w:r>
        <w:rPr>
          <w:rFonts w:ascii="宋体" w:hAnsi="宋体" w:eastAsia="宋体" w:cs="宋体"/>
          <w:color w:val="000"/>
          <w:sz w:val="28"/>
          <w:szCs w:val="28"/>
        </w:rPr>
        <w:t xml:space="preserve">总之，理工科院校的人文社科类科研项目，其生存空间和发展前景都处于较为不利的局面，面临着严峻的挑战和考验。人文社科类科研项目以其独特的学科特点为基础，在整个科研过程中与理工类科研项目存在极大差异，因此，应积极探索人文社科的科研管理特点，认真研究适宜于人文社科类科研管理制度和机制，对其进行科学化、规范化的管理，从而实现提升科学管理水平的目标。</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第九篇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2025-05-03T17:25:19+08:00</dcterms:created>
  <dcterms:modified xsi:type="dcterms:W3CDTF">2025-05-03T17:25:19+08:00</dcterms:modified>
</cp:coreProperties>
</file>

<file path=docProps/custom.xml><?xml version="1.0" encoding="utf-8"?>
<Properties xmlns="http://schemas.openxmlformats.org/officeDocument/2006/custom-properties" xmlns:vt="http://schemas.openxmlformats.org/officeDocument/2006/docPropsVTypes"/>
</file>