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职场心态论文范文大全推荐6篇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职场心态论文范文大全 第一篇一、加强学习兴趣培养，构建积极心理场在高中政治教学实践中，教师要有充分的耐心，可以放慢教学的节奏，利用书本知识与现实生活的结合，让学生更好地理解教学内容，提高学生的学习兴趣。比如在讲解《xxx:国家权力机关》的时...</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第一篇</w:t>
      </w:r>
    </w:p>
    <w:p>
      <w:pPr>
        <w:ind w:left="0" w:right="0" w:firstLine="560"/>
        <w:spacing w:before="450" w:after="450" w:line="312" w:lineRule="auto"/>
      </w:pPr>
      <w:r>
        <w:rPr>
          <w:rFonts w:ascii="宋体" w:hAnsi="宋体" w:eastAsia="宋体" w:cs="宋体"/>
          <w:color w:val="000"/>
          <w:sz w:val="28"/>
          <w:szCs w:val="28"/>
        </w:rPr>
        <w:t xml:space="preserve">一、加强学习兴趣培养，构建积极心理场</w:t>
      </w:r>
    </w:p>
    <w:p>
      <w:pPr>
        <w:ind w:left="0" w:right="0" w:firstLine="560"/>
        <w:spacing w:before="450" w:after="450" w:line="312" w:lineRule="auto"/>
      </w:pPr>
      <w:r>
        <w:rPr>
          <w:rFonts w:ascii="宋体" w:hAnsi="宋体" w:eastAsia="宋体" w:cs="宋体"/>
          <w:color w:val="000"/>
          <w:sz w:val="28"/>
          <w:szCs w:val="28"/>
        </w:rPr>
        <w:t xml:space="preserve">在高中政治教学实践中，教师要有充分的耐心，可以放慢教学的节奏，利用书本知识与现实生活的结合，让学生更好地理解教学内容，提高学生的学习兴趣。比如在讲解《xxx:国家权力机关》的时候，其涉及到的内容与学生的现实生活相距较远，教师就可以利用教学内容与生活的结合来提高学生的学习兴趣。教师可以组织学生对社会中的热点问题进行分析，比如说最近发生的“昆明暴利事件”或者是“马航事件”，可以让学生扮演成一名人大代表，在课堂上组织学生进行xxx的模拟。在会议中，学生需要了解作为国家权利机关的xxx的职能与性质，更要对人大代表的职责进行明晰的判定。这样一来，学生在不知不觉中对政治学习的内容进行消化，并且表现出较高的学习热情。于是学习兴趣提高，积极心理场构建成功。</w:t>
      </w:r>
    </w:p>
    <w:p>
      <w:pPr>
        <w:ind w:left="0" w:right="0" w:firstLine="560"/>
        <w:spacing w:before="450" w:after="450" w:line="312" w:lineRule="auto"/>
      </w:pPr>
      <w:r>
        <w:rPr>
          <w:rFonts w:ascii="宋体" w:hAnsi="宋体" w:eastAsia="宋体" w:cs="宋体"/>
          <w:color w:val="000"/>
          <w:sz w:val="28"/>
          <w:szCs w:val="28"/>
        </w:rPr>
        <w:t xml:space="preserve">二、加强教学评价建立，构建积极心理场</w:t>
      </w:r>
    </w:p>
    <w:p>
      <w:pPr>
        <w:ind w:left="0" w:right="0" w:firstLine="560"/>
        <w:spacing w:before="450" w:after="450" w:line="312" w:lineRule="auto"/>
      </w:pPr>
      <w:r>
        <w:rPr>
          <w:rFonts w:ascii="宋体" w:hAnsi="宋体" w:eastAsia="宋体" w:cs="宋体"/>
          <w:color w:val="000"/>
          <w:sz w:val="28"/>
          <w:szCs w:val="28"/>
        </w:rPr>
        <w:t xml:space="preserve">教学评价是教学活动的重要组成部分，教学评价体系的正确建立与使用会对教学活动质量的提高起到积极作用。一个良好的教学评价，会使学生的学习自信心得以提升，可以消除学生在学习中产生的不良情绪，提高学生的学习积极性。在高中政治教学活动中也是一样，教师利用正确的教学评价对学生的学习过程与成果进行分析，不仅可以使学生找到高中政治学习成就感，更可以为学生创造一个良好的高中政治学习氛围。在高中政治教学中，教师不仅要对学生进行严格的管理，更要对学生进行积极的评价，引导学生建立起积极的心理场。比如在学习《个人收入的分配》时，教师可以为学生安排具有层次的作业，让学生在自己能力范围内完成一定量的高中政治学习任务。对于学习能力一般的学生，教师可以将熟悉与记忆课本知识作为作业，而对于学习能力较强的学生，教师则可以引导其以建议信的方法写出自己对于个人收入分配制度的感受与想法。对于不同的学生，教师要提出不同的要求，用不同的评价标准对评价学生的学习成果。在学习能力一般的学习完成学习任务时，教师要对其进行肯定，利用积极的评语激发学生积极心理的产生。比如“你完成得真好”或者“你的政治水平提高真快”等等。在学习能力较高的学生完成了学习任务时，教师要将其学习成果进行展示，鼓励他们做得更好。与此同时，其它的学生也可以找到学习的动力与目标，整个班级大的积极心理场也得到建立。</w:t>
      </w:r>
    </w:p>
    <w:p>
      <w:pPr>
        <w:ind w:left="0" w:right="0" w:firstLine="560"/>
        <w:spacing w:before="450" w:after="450" w:line="312" w:lineRule="auto"/>
      </w:pPr>
      <w:r>
        <w:rPr>
          <w:rFonts w:ascii="宋体" w:hAnsi="宋体" w:eastAsia="宋体" w:cs="宋体"/>
          <w:color w:val="000"/>
          <w:sz w:val="28"/>
          <w:szCs w:val="28"/>
        </w:rPr>
        <w:t xml:space="preserve">三、加强师生关系建设，构建积极心理场</w:t>
      </w:r>
    </w:p>
    <w:p>
      <w:pPr>
        <w:ind w:left="0" w:right="0" w:firstLine="560"/>
        <w:spacing w:before="450" w:after="450" w:line="312" w:lineRule="auto"/>
      </w:pPr>
      <w:r>
        <w:rPr>
          <w:rFonts w:ascii="宋体" w:hAnsi="宋体" w:eastAsia="宋体" w:cs="宋体"/>
          <w:color w:val="000"/>
          <w:sz w:val="28"/>
          <w:szCs w:val="28"/>
        </w:rPr>
        <w:t xml:space="preserve">传统高中政治教学中的师生关系对于学生学习的积极性与自主性具有一定的震慑作用，鉴于教师的威严，许多学生不敢在课堂上发表自己的看法，学习积极性被压制，积极心理场的建设也具有一定的难度。所以，在当代的高中政治教学中，教师要学会转变自己的角色，认可学生在学习活动中的主体地位，给予学生发言的机会，对学生进行积极的引导。教师要以平等的身份与学生进行沟通交流，建立起民主与和谐的氛围，让学生的积极心理场得到构建，培养学生自主学习与合作学习的精神。比如在讲解《文化与社会》的时候，教师可以让学生先就课本内容进行自主学习，对社会与文化的关系、影响进行了解。学生在自主学习中，可以提出学习问题，向教师提问，或者自主解决。之后，教师可以让学生进行合作学习，在合作中对自己所了解的社会文化进行分享，丰富学生的学习内容与教学资源。而教师则可以参与到学生的交流中，也可以对学生的交流内容进行添加或者规范。这样平等和谐的师生关系对于学生积极心理场的构建具有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在社会发展与时代进步的今天，社会对于教育事业的期待值越来越高。高中政治教学关系着当代高中学生的政治水平，更关系着学生的前途与未来。积极心理场的成功构建，会引导学生找到正确的学习心理，端正自己的学习态度，提高主动学习的可能性。笔者从不同的角度对高中政治教学中学生积极心理场构建的方法进行分析，希望以此来加强当代高中政治教师对学生积极心理场构建的重视。这样，学生的思想政治水平提高会得到有利的保障。</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第二篇</w:t>
      </w:r>
    </w:p>
    <w:p>
      <w:pPr>
        <w:ind w:left="0" w:right="0" w:firstLine="560"/>
        <w:spacing w:before="450" w:after="450" w:line="312" w:lineRule="auto"/>
      </w:pPr>
      <w:r>
        <w:rPr>
          <w:rFonts w:ascii="宋体" w:hAnsi="宋体" w:eastAsia="宋体" w:cs="宋体"/>
          <w:color w:val="000"/>
          <w:sz w:val="28"/>
          <w:szCs w:val="28"/>
        </w:rPr>
        <w:t xml:space="preserve">编者按：本论文主要从信用信息的生产机制；信用信息的信号传递机制；信用信息生产机制和信号机制的结合等进行讲述，包括了信用信息主要的生产者包括政府相关机构、银行和征信公司、债权人可以更多地了解关于债务人信用的历史信息、共同使用信用信息的直接生产机制和间接信号传递机制、债务人的履约意愿与抵押信号等，具体资料请见：</w:t>
      </w:r>
    </w:p>
    <w:p>
      <w:pPr>
        <w:ind w:left="0" w:right="0" w:firstLine="560"/>
        <w:spacing w:before="450" w:after="450" w:line="312" w:lineRule="auto"/>
      </w:pPr>
      <w:r>
        <w:rPr>
          <w:rFonts w:ascii="宋体" w:hAnsi="宋体" w:eastAsia="宋体" w:cs="宋体"/>
          <w:color w:val="000"/>
          <w:sz w:val="28"/>
          <w:szCs w:val="28"/>
        </w:rPr>
        <w:t xml:space="preserve">论文关键词：信贷市场信用信息抵押产生机制</w:t>
      </w:r>
    </w:p>
    <w:p>
      <w:pPr>
        <w:ind w:left="0" w:right="0" w:firstLine="560"/>
        <w:spacing w:before="450" w:after="450" w:line="312" w:lineRule="auto"/>
      </w:pPr>
      <w:r>
        <w:rPr>
          <w:rFonts w:ascii="宋体" w:hAnsi="宋体" w:eastAsia="宋体" w:cs="宋体"/>
          <w:color w:val="000"/>
          <w:sz w:val="28"/>
          <w:szCs w:val="28"/>
        </w:rPr>
        <w:t xml:space="preserve">论文摘要：文章考察了有关借款人信用信息的两种产生机制。一种是对信用信息的直接生产机制，该机制可以减少信贷市场的信息不对称；一种是通过设置抵押条款，发挥抵押对信用信息的间接信号传递功能。抵押机制并不能直接减少信贷市场的信息不对称，但可以在贷款合约中起着信号、甄别以及激励等作用，消除或减少由信息不对称带来的逆向选择风险和道德风险。</w:t>
      </w:r>
    </w:p>
    <w:p>
      <w:pPr>
        <w:ind w:left="0" w:right="0" w:firstLine="560"/>
        <w:spacing w:before="450" w:after="450" w:line="312" w:lineRule="auto"/>
      </w:pPr>
      <w:r>
        <w:rPr>
          <w:rFonts w:ascii="宋体" w:hAnsi="宋体" w:eastAsia="宋体" w:cs="宋体"/>
          <w:color w:val="000"/>
          <w:sz w:val="28"/>
          <w:szCs w:val="28"/>
        </w:rPr>
        <w:t xml:space="preserve">著名经济学家吴敬链先生认为，虽然中国的市场经济改革已经进行了二十几年，但信用体系却远远没有建立起来…。信用关系双方存在严重的信息不对称现象，社会经济关系遇到了巨大的挑战：三角债迅速上升，在很多地区交易成本急速上升，甚至高到了交易无法进行的地步；银行“收息率”迅速下降，企业赖债、拖欠贷款利息、逃废银行债务的现象严重。解决信贷市场上信息不对称，产生信用信息的办法主要有两种：一是加强对借款人信息的收集和对借款人信用风险和项目风险的分析和甄别，这是信用信息的直接生产机制，但这要求银行具有很强的信息加工能力和贷款监管能力，同时还要辅之以社会信用信息生产机构，比如信用评级机构。另一种方法是利用抵押机制迫使债务人讲真话，通过抵押的设立传递有关债务人信用的信息，这是信用信息的问接信号传递机制。</w:t>
      </w:r>
    </w:p>
    <w:p>
      <w:pPr>
        <w:ind w:left="0" w:right="0" w:firstLine="560"/>
        <w:spacing w:before="450" w:after="450" w:line="312" w:lineRule="auto"/>
      </w:pPr>
      <w:r>
        <w:rPr>
          <w:rFonts w:ascii="宋体" w:hAnsi="宋体" w:eastAsia="宋体" w:cs="宋体"/>
          <w:color w:val="000"/>
          <w:sz w:val="28"/>
          <w:szCs w:val="28"/>
        </w:rPr>
        <w:t xml:space="preserve">1信用信息的生产机制</w:t>
      </w:r>
    </w:p>
    <w:p>
      <w:pPr>
        <w:ind w:left="0" w:right="0" w:firstLine="560"/>
        <w:spacing w:before="450" w:after="450" w:line="312" w:lineRule="auto"/>
      </w:pPr>
      <w:r>
        <w:rPr>
          <w:rFonts w:ascii="宋体" w:hAnsi="宋体" w:eastAsia="宋体" w:cs="宋体"/>
          <w:color w:val="000"/>
          <w:sz w:val="28"/>
          <w:szCs w:val="28"/>
        </w:rPr>
        <w:t xml:space="preserve">信用信息主要的生产者包括政府相关机构、银行和征信公司，通过信息生产，可以大量减少信贷市场上的信息不对称状况。个人的信用信息具有公共品的显著特征，主要由政府建立的征信体系提供。我国的个人信用征信体系于20_年正式在上海建立。然而信用信息是历史数据，需要建立起大量的信用信息数据库，不是一朝一夕可以完成的，需要经过多年的充实和完善。而政府机构提供的信用信息只是对历史原始数据的初级整理。银行也是重要的信用信息生产部门，依靠内部的资信评估部门，对贷款申请人进行审查和贷款管理。目前我国的银行信贷部门在授信前对企业信息的搜集能力不足，缺乏独立客观的评价标准和专业的财务分析人员，难以准确地对贷款企业进行资信考察；发放贷款后又对企业的履约行为和偿债能力缺乏持续跟踪管理。由于没有实现信息生产的规模效应，所以信息成本较高，并且具有很大的局限性。征信公司／信用评级机构是对企业信用信息进行采集、分析和存储的专业机构，具有专业优势和规模优势。通过对历史数据的分析和对未来经济形势的预测，可以提供更加专业和针对性更强的信用服务。然而，征信公司／信用评级机构在中国刚刚兴起，评级数据的覆盖面还不够广，需要加强与银行的合作，尽快建立信息共享平台，银行提供基础数据，评级机构借助强大的信息资源和专业技能，对企业基本素质做出全面考察分析和持续跟踪，及时调整对企业偿债能力及资信质量的评估。利用评级机构的评级信息对贷款进行管理，获取企业内部和外部环境的信息，不但可以降低银行的贷款风险，更可为银行节约成本，提高运行效率。总之，综合利用上述三种信息生产机制，可以使贷款人以高效率低成本的方式做出是否贷款以及是否需要抵押的正确决策。</w:t>
      </w:r>
    </w:p>
    <w:p>
      <w:pPr>
        <w:ind w:left="0" w:right="0" w:firstLine="560"/>
        <w:spacing w:before="450" w:after="450" w:line="312" w:lineRule="auto"/>
      </w:pPr>
      <w:r>
        <w:rPr>
          <w:rFonts w:ascii="宋体" w:hAnsi="宋体" w:eastAsia="宋体" w:cs="宋体"/>
          <w:color w:val="000"/>
          <w:sz w:val="28"/>
          <w:szCs w:val="28"/>
        </w:rPr>
        <w:t xml:space="preserve">2信用信息的信号传递机制</w:t>
      </w:r>
    </w:p>
    <w:p>
      <w:pPr>
        <w:ind w:left="0" w:right="0" w:firstLine="560"/>
        <w:spacing w:before="450" w:after="450" w:line="312" w:lineRule="auto"/>
      </w:pPr>
      <w:r>
        <w:rPr>
          <w:rFonts w:ascii="宋体" w:hAnsi="宋体" w:eastAsia="宋体" w:cs="宋体"/>
          <w:color w:val="000"/>
          <w:sz w:val="28"/>
          <w:szCs w:val="28"/>
        </w:rPr>
        <w:t xml:space="preserve">通过信用信息的生产，债权人可以更多地了解关于债务人信用的历史信息，然而，关于借款项目的信息却往往了解有限。在这种情况下，抵押可以充当识别借款人与借款项目信用信息的重要信号。</w:t>
      </w:r>
    </w:p>
    <w:p>
      <w:pPr>
        <w:ind w:left="0" w:right="0" w:firstLine="560"/>
        <w:spacing w:before="450" w:after="450" w:line="312" w:lineRule="auto"/>
      </w:pPr>
      <w:r>
        <w:rPr>
          <w:rFonts w:ascii="宋体" w:hAnsi="宋体" w:eastAsia="宋体" w:cs="宋体"/>
          <w:color w:val="000"/>
          <w:sz w:val="28"/>
          <w:szCs w:val="28"/>
        </w:rPr>
        <w:t xml:space="preserve">斯蒂格利兹和魏斯(sti#tzandWeiss)在他们开创性的研究中论述了信贷配给市场均衡的存在及合理性。论文还讨论了抵押能否消除信息不对称带来的信贷配给，他们认为提高抵押要求对信贷市场具有两个方向的作用：一方面，使得留在信贷市场的借款者倾向于选择风险较低的项目，具有激励作用。另一方面，提高抵押要求会将一部分低风险低财富的借款者赶出信贷市场，产生逆向选择效应。如果提高抵押要求所带来的负面的逆向选择效应超过正面的激励效应，那么贷款者会发现，当抵押要求超过某个临界点之后，风险上升了，回报却减少了。韦迪进一步考察了抵押担保的作用，她认为在借款者风险中性假设和项目全贷款融资假设下，提高抵押要求同样会产生逆向选择问题。即在抵押率比较低的时候，抵押发出贷款项目风险较低的信号，一旦抵押额超过某个临界点后，抵押传递的反而是贷款风险较大的信号。由于临界点不可确知，抵押的信号功能难以发挥。然而，上述研究存在明显缺陷：所有这些模型隐含的假设是信贷合约只包含利率条款，即使有抵押条款，也是假定利率与抵押在信贷合约中单独使用——要么只能改变利率、要么只能改变抵押。显然这并不符合实际——银行完全有能力自行安排利率和抵押。正如罗斯柴尔德和斯蒂格利兹(Roth~hildandStiglitz)论述保险市场代理问题一文中所述，通过使用激励相容的合约可以解决逆向选择问题。设计的合约中包含能提供不同代理人质量信息的信号，信号的使用可以将不同类型的代理人筛选出来达到分离均衡。</w:t>
      </w:r>
    </w:p>
    <w:p>
      <w:pPr>
        <w:ind w:left="0" w:right="0" w:firstLine="560"/>
        <w:spacing w:before="450" w:after="450" w:line="312" w:lineRule="auto"/>
      </w:pPr>
      <w:r>
        <w:rPr>
          <w:rFonts w:ascii="宋体" w:hAnsi="宋体" w:eastAsia="宋体" w:cs="宋体"/>
          <w:color w:val="000"/>
          <w:sz w:val="28"/>
          <w:szCs w:val="28"/>
        </w:rPr>
        <w:t xml:space="preserve">当信贷市场中存在事前信息不对称时，将抵押和利率结合起来使用，抵押能够充分发挥信用信息的信号传递功能，具有消除或减少逆向选择的作用。塔克尔和贝森科(A．V．ThakorandD．Bes．anko)研究了在信息不对称条件下不同市场结构中抵押担保在信贷配给中的作用。文中假定抵押有成本的条件下，首先分析了垄断条件下的信贷市场均衡，假定银行在贷款市场中充当制定价格的垄断者，为了榨取借款者剩余，除非抵押物的价值大到足以使银行放贷没有风险，否则抵押不会被使用。接着，他们又分析了完全竞争条件下的信贷市场均衡，并假定每家银行都面临完全弹性的储蓄供给，且每家银行也像争取储蓄一样为了发放贷款而相互竞争。银行竞相放贷的结果是每个借款者都得到了期望效用最大化的合约，这份合约同时以银行收益持平为约束条件。他们发现，抵押在完全竞争条件下的信贷市场中发挥重要作用。银行通过设计出相关利率和抵押要求反向变化的信贷合约，就能够借此筛选出借款者的风险类型。低风险借款者倾向于选择低利率一高抵押要求的合约，而高风险借款者则选择高利率一低抵押要求的合约。在他们另一篇论文中，考虑了贷款数量、抵押、利率和信贷配给的关系，同样得出了抵押与贷款风险的负相关关系。贝斯特(Bester)认为以抵押和利率反向关系建立的自我选择机制可以消除信贷配给，在此抵押起到了重要的信号作用。他还指出了自我选择机制的两个严格假设：一是要求项目风险和不同借款人的偏好(借款人的风险)单调增，另一个是低风险企业家有能力提供足够的抵押以别于高风险企业家。詹和卡纳塔斯研究了在借贷双方对贷款项目存在不对称估价情况下抵押担保的信号传递功能，他们认为当借贷双方有相同信息但却对项目具有不同估价时，抵押可以提高贷款者对借款者预期收益的评估能力，即在理性预期信号传递环境中，抵押可以充当一种间接的信号源——较高品质的借款者愿意提供更多抵押。如果贷款者的评价过低，借款者就有动力提供抵押，以换取较低的贷款利率。当借贷双方由于信念的差异对贷款项目产生不同评价时，抵押能够对合约的达成发挥重要作用。</w:t>
      </w:r>
    </w:p>
    <w:p>
      <w:pPr>
        <w:ind w:left="0" w:right="0" w:firstLine="560"/>
        <w:spacing w:before="450" w:after="450" w:line="312" w:lineRule="auto"/>
      </w:pPr>
      <w:r>
        <w:rPr>
          <w:rFonts w:ascii="宋体" w:hAnsi="宋体" w:eastAsia="宋体" w:cs="宋体"/>
          <w:color w:val="000"/>
          <w:sz w:val="28"/>
          <w:szCs w:val="28"/>
        </w:rPr>
        <w:t xml:space="preserve">3信用信息生产机制和信号机制的结合</w:t>
      </w:r>
    </w:p>
    <w:p>
      <w:pPr>
        <w:ind w:left="0" w:right="0" w:firstLine="560"/>
        <w:spacing w:before="450" w:after="450" w:line="312" w:lineRule="auto"/>
      </w:pPr>
      <w:r>
        <w:rPr>
          <w:rFonts w:ascii="宋体" w:hAnsi="宋体" w:eastAsia="宋体" w:cs="宋体"/>
          <w:color w:val="000"/>
          <w:sz w:val="28"/>
          <w:szCs w:val="28"/>
        </w:rPr>
        <w:t xml:space="preserve">共同使用信用信息的直接生产机制和间接信号传递机制，可以减少信息不对称引起的道德风险。银行通常借助信息生产手段，对借款人的风险状况进行严格审查，对预期违约可能性比较大的借款人要求抵押，如果借款人按要求提供了抵押，相当于借款人向银行传递了愿意遵守履约约定的信号，即他将提高努力程度、减少故意违约等机会主义行为。借款人道德风险下降，从而，银行将满足贷款要求；如果借款人没有提供抵押，则传递了道德风险大的信号，银行拒绝贷款要求。</w:t>
      </w:r>
    </w:p>
    <w:p>
      <w:pPr>
        <w:ind w:left="0" w:right="0" w:firstLine="560"/>
        <w:spacing w:before="450" w:after="450" w:line="312" w:lineRule="auto"/>
      </w:pPr>
      <w:r>
        <w:rPr>
          <w:rFonts w:ascii="宋体" w:hAnsi="宋体" w:eastAsia="宋体" w:cs="宋体"/>
          <w:color w:val="000"/>
          <w:sz w:val="28"/>
          <w:szCs w:val="28"/>
        </w:rPr>
        <w:t xml:space="preserve">3．1借款人的履约能力与抵押信号</w:t>
      </w:r>
    </w:p>
    <w:p>
      <w:pPr>
        <w:ind w:left="0" w:right="0" w:firstLine="560"/>
        <w:spacing w:before="450" w:after="450" w:line="312" w:lineRule="auto"/>
      </w:pPr>
      <w:r>
        <w:rPr>
          <w:rFonts w:ascii="宋体" w:hAnsi="宋体" w:eastAsia="宋体" w:cs="宋体"/>
          <w:color w:val="000"/>
          <w:sz w:val="28"/>
          <w:szCs w:val="28"/>
        </w:rPr>
        <w:t xml:space="preserve">贷款合约生效后，借款人得到了贷款并进行投资。在项目实施中，借款人的努力程度与项目的收益是成正比的：而项目的收益又直接影响到借款人的履约能力。在一定条件下，当借款人选择偷懒作为他的最优策略时，就产生了道德风险。针对这种道德风险，银行通过设置抵押来激励借款人采取适当的“行动”提高履约能力(项目的期望收益和成功概率)，从而降低项目风险，提高银行的效用。</w:t>
      </w:r>
    </w:p>
    <w:p>
      <w:pPr>
        <w:ind w:left="0" w:right="0" w:firstLine="560"/>
        <w:spacing w:before="450" w:after="450" w:line="312" w:lineRule="auto"/>
      </w:pPr>
      <w:r>
        <w:rPr>
          <w:rFonts w:ascii="宋体" w:hAnsi="宋体" w:eastAsia="宋体" w:cs="宋体"/>
          <w:color w:val="000"/>
          <w:sz w:val="28"/>
          <w:szCs w:val="28"/>
        </w:rPr>
        <w:t xml:space="preserve">通常，研究者把这样的行动称为努力。虽然，提高项目成功的概率也同样提高了借款人的效用，但是努力本身却需要借款人付出成本，反过来又减少了借款人的效用。只有净边际效用大于零时，借款人才会提高努力程度；反之，借款人会降低努力程度。抵押激励的最佳值应该使借款人努力的边际效用等于边际成本。</w:t>
      </w:r>
    </w:p>
    <w:p>
      <w:pPr>
        <w:ind w:left="0" w:right="0" w:firstLine="560"/>
        <w:spacing w:before="450" w:after="450" w:line="312" w:lineRule="auto"/>
      </w:pPr>
      <w:r>
        <w:rPr>
          <w:rFonts w:ascii="宋体" w:hAnsi="宋体" w:eastAsia="宋体" w:cs="宋体"/>
          <w:color w:val="000"/>
          <w:sz w:val="28"/>
          <w:szCs w:val="28"/>
        </w:rPr>
        <w:t xml:space="preserve">沃特森(Watson)认为由于不同的借款人努力的成本不同，信贷市场可能存在分离均衡。通过抵押，可以得到帕雷托最优的努力水平。对于借款人来说，抵押限制比利率限制更容易导致无效率的努力水平。换言之，抵押要求比利率要求对借款人努力的激励作用更大。詹和塔克尔(Chan和Tha．kor)考察了道德风险、私人信息和抵押的关系。他们认为所有的借款人会最大限度的使用抵押。向银行传递自己将付出最大努力提高项目成功概率和履约能力的信号。布特、塔克尔和尤德尔(Boot，TnakorandUdeU)研究了担保贷款与违约风险的关系，得出了高风险借款人提供更多抵押的充分条件，即同样的努力对高风险的借款人比对低风险借款人效用更大。即高风险的借款人更需要通过抵押传递履约能力信号。</w:t>
      </w:r>
    </w:p>
    <w:p>
      <w:pPr>
        <w:ind w:left="0" w:right="0" w:firstLine="560"/>
        <w:spacing w:before="450" w:after="450" w:line="312" w:lineRule="auto"/>
      </w:pPr>
      <w:r>
        <w:rPr>
          <w:rFonts w:ascii="宋体" w:hAnsi="宋体" w:eastAsia="宋体" w:cs="宋体"/>
          <w:color w:val="000"/>
          <w:sz w:val="28"/>
          <w:szCs w:val="28"/>
        </w:rPr>
        <w:t xml:space="preserve">3．2债务人的履约意愿与抵押信号</w:t>
      </w:r>
    </w:p>
    <w:p>
      <w:pPr>
        <w:ind w:left="0" w:right="0" w:firstLine="560"/>
        <w:spacing w:before="450" w:after="450" w:line="312" w:lineRule="auto"/>
      </w:pPr>
      <w:r>
        <w:rPr>
          <w:rFonts w:ascii="宋体" w:hAnsi="宋体" w:eastAsia="宋体" w:cs="宋体"/>
          <w:color w:val="000"/>
          <w:sz w:val="28"/>
          <w:szCs w:val="28"/>
        </w:rPr>
        <w:t xml:space="preserve">经过一个周期的项目实施，当借款人得知项目收益后，即使有履约能力，也会面临是否如约还贷的选择。由于努力程度和还贷意愿同样是私人信息不可观察，银行就需要在贷款合约中设定相应的激励条款，而抵押条款往往会被优先考虑。</w:t>
      </w:r>
    </w:p>
    <w:p>
      <w:pPr>
        <w:ind w:left="0" w:right="0" w:firstLine="560"/>
        <w:spacing w:before="450" w:after="450" w:line="312" w:lineRule="auto"/>
      </w:pPr>
      <w:r>
        <w:rPr>
          <w:rFonts w:ascii="宋体" w:hAnsi="宋体" w:eastAsia="宋体" w:cs="宋体"/>
          <w:color w:val="000"/>
          <w:sz w:val="28"/>
          <w:szCs w:val="28"/>
        </w:rPr>
        <w:t xml:space="preserve">抵押可以解决不对称信息导致的期末收益状态证实成本过高问题。当存在关于借款人期末实现收益值的事后不对称信息时，借款人即使有能力归还贷款，并不表明就一定会归还。如果没有抵押，他完全有动机隐藏信息少报自己的实际收入来达到不还或少还贷款的目的。抵押具有鼓励借款人如实向银行报告项目收益，提高借款人还款意愿的作用。</w:t>
      </w:r>
    </w:p>
    <w:p>
      <w:pPr>
        <w:ind w:left="0" w:right="0" w:firstLine="560"/>
        <w:spacing w:before="450" w:after="450" w:line="312" w:lineRule="auto"/>
      </w:pPr>
      <w:r>
        <w:rPr>
          <w:rFonts w:ascii="宋体" w:hAnsi="宋体" w:eastAsia="宋体" w:cs="宋体"/>
          <w:color w:val="000"/>
          <w:sz w:val="28"/>
          <w:szCs w:val="28"/>
        </w:rPr>
        <w:t xml:space="preserve">因此，较多的抵押可以向银行传递借款人具有较高还款意愿的信号。由于一般情况下借款人在好状态时违约的激励和事前的失败概率成正比，抵押的约束效果对高风险项目更有效。因此高风险项目的融资中用到抵押条款的比例更大。</w:t>
      </w:r>
    </w:p>
    <w:p>
      <w:pPr>
        <w:ind w:left="0" w:right="0" w:firstLine="560"/>
        <w:spacing w:before="450" w:after="450" w:line="312" w:lineRule="auto"/>
      </w:pPr>
      <w:r>
        <w:rPr>
          <w:rFonts w:ascii="宋体" w:hAnsi="宋体" w:eastAsia="宋体" w:cs="宋体"/>
          <w:color w:val="000"/>
          <w:sz w:val="28"/>
          <w:szCs w:val="28"/>
        </w:rPr>
        <w:t xml:space="preserve">针对事后不对称信息，抵押可以传递借款人具有还款能力和还款意愿的信号。通过对高风险借款人要求较多的抵押、对低风险借款人要求较少的抵押，银行可以降低总的信贷风险。不过，如果要准确判断哪个借款人是高风险的、哪个是低风险的就需要银行对信用信息预先进行生产和加工。因此，如果银行主要面对的信贷风险来自道德风险，那么，银行必须同时使用信用信息的生产手段和抵押的信号机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用信息的产生机制有两种，即银行的主动获取机制和借款人的信号传递机制。合理利用两种机制，可以有效地减少或消除信息不对称或者由信息不对称带来的逆向选择和道德风险。信用信息的生产过程中，银行可以通过各种途径主动获得借款人的信息。然而，信息的生产需要成本。另外，借款人也可以通过提供抵押，向银行传递自身的信用信息，以获得贷款。抵押也是有成本的，通常抵押的成本由银行和借款人共同负担。抵押的成本包括法律与监管成本，主要有订立抵押贷款合约时抵押物的价值认定成本、法律费用以及银行定期监督的费用等。当企业违约后进入破产程序时，银行要为收集和变卖抵押物支付成本。两害相权取其轻，银行究竟通过什么方式获得它需要的有关借款人和借款项目的信用信息，取决于这两种成本的大小。由于我国目前银行获取和加工信用信息的成本普遍较高，导致了我国的银行贷款更多地依赖于担保。随着我国信用体系的建设和完善，信用信息能够以较低的成本生产和传递，银行贷款中的抵押比例会相应有所下降。</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第三篇</w:t>
      </w:r>
    </w:p>
    <w:p>
      <w:pPr>
        <w:ind w:left="0" w:right="0" w:firstLine="560"/>
        <w:spacing w:before="450" w:after="450" w:line="312" w:lineRule="auto"/>
      </w:pPr>
      <w:r>
        <w:rPr>
          <w:rFonts w:ascii="宋体" w:hAnsi="宋体" w:eastAsia="宋体" w:cs="宋体"/>
          <w:color w:val="000"/>
          <w:sz w:val="28"/>
          <w:szCs w:val="28"/>
        </w:rPr>
        <w:t xml:space="preserve">1系统概要设计</w:t>
      </w:r>
    </w:p>
    <w:p>
      <w:pPr>
        <w:ind w:left="0" w:right="0" w:firstLine="560"/>
        <w:spacing w:before="450" w:after="450" w:line="312" w:lineRule="auto"/>
      </w:pPr>
      <w:r>
        <w:rPr>
          <w:rFonts w:ascii="宋体" w:hAnsi="宋体" w:eastAsia="宋体" w:cs="宋体"/>
          <w:color w:val="000"/>
          <w:sz w:val="28"/>
          <w:szCs w:val="28"/>
        </w:rPr>
        <w:t xml:space="preserve">2管理系统各实施阶段</w:t>
      </w:r>
    </w:p>
    <w:p>
      <w:pPr>
        <w:ind w:left="0" w:right="0" w:firstLine="560"/>
        <w:spacing w:before="450" w:after="450" w:line="312" w:lineRule="auto"/>
      </w:pPr>
      <w:r>
        <w:rPr>
          <w:rFonts w:ascii="宋体" w:hAnsi="宋体" w:eastAsia="宋体" w:cs="宋体"/>
          <w:color w:val="000"/>
          <w:sz w:val="28"/>
          <w:szCs w:val="28"/>
        </w:rPr>
        <w:t xml:space="preserve">（1）搭建开发平台（安装前端开发工具及后台数据库）。</w:t>
      </w:r>
    </w:p>
    <w:p>
      <w:pPr>
        <w:ind w:left="0" w:right="0" w:firstLine="560"/>
        <w:spacing w:before="450" w:after="450" w:line="312" w:lineRule="auto"/>
      </w:pPr>
      <w:r>
        <w:rPr>
          <w:rFonts w:ascii="宋体" w:hAnsi="宋体" w:eastAsia="宋体" w:cs="宋体"/>
          <w:color w:val="000"/>
          <w:sz w:val="28"/>
          <w:szCs w:val="28"/>
        </w:rPr>
        <w:t xml:space="preserve">①建立数据库服务器，确定数据库数据表字段名称、类型、大小等属性；</w:t>
      </w:r>
    </w:p>
    <w:p>
      <w:pPr>
        <w:ind w:left="0" w:right="0" w:firstLine="560"/>
        <w:spacing w:before="450" w:after="450" w:line="312" w:lineRule="auto"/>
      </w:pPr>
      <w:r>
        <w:rPr>
          <w:rFonts w:ascii="宋体" w:hAnsi="宋体" w:eastAsia="宋体" w:cs="宋体"/>
          <w:color w:val="000"/>
          <w:sz w:val="28"/>
          <w:szCs w:val="28"/>
        </w:rPr>
        <w:t xml:space="preserve">②建立各数据表间的映射关系；</w:t>
      </w:r>
    </w:p>
    <w:p>
      <w:pPr>
        <w:ind w:left="0" w:right="0" w:firstLine="560"/>
        <w:spacing w:before="450" w:after="450" w:line="312" w:lineRule="auto"/>
      </w:pPr>
      <w:r>
        <w:rPr>
          <w:rFonts w:ascii="宋体" w:hAnsi="宋体" w:eastAsia="宋体" w:cs="宋体"/>
          <w:color w:val="000"/>
          <w:sz w:val="28"/>
          <w:szCs w:val="28"/>
        </w:rPr>
        <w:t xml:space="preserve">③撰写开发脚本；</w:t>
      </w:r>
    </w:p>
    <w:p>
      <w:pPr>
        <w:ind w:left="0" w:right="0" w:firstLine="560"/>
        <w:spacing w:before="450" w:after="450" w:line="312" w:lineRule="auto"/>
      </w:pPr>
      <w:r>
        <w:rPr>
          <w:rFonts w:ascii="宋体" w:hAnsi="宋体" w:eastAsia="宋体" w:cs="宋体"/>
          <w:color w:val="000"/>
          <w:sz w:val="28"/>
          <w:szCs w:val="28"/>
        </w:rPr>
        <w:t xml:space="preserve">④模块划分；</w:t>
      </w:r>
    </w:p>
    <w:p>
      <w:pPr>
        <w:ind w:left="0" w:right="0" w:firstLine="560"/>
        <w:spacing w:before="450" w:after="450" w:line="312" w:lineRule="auto"/>
      </w:pPr>
      <w:r>
        <w:rPr>
          <w:rFonts w:ascii="宋体" w:hAnsi="宋体" w:eastAsia="宋体" w:cs="宋体"/>
          <w:color w:val="000"/>
          <w:sz w:val="28"/>
          <w:szCs w:val="28"/>
        </w:rPr>
        <w:t xml:space="preserve">（2）代码开发阶段。</w:t>
      </w:r>
    </w:p>
    <w:p>
      <w:pPr>
        <w:ind w:left="0" w:right="0" w:firstLine="560"/>
        <w:spacing w:before="450" w:after="450" w:line="312" w:lineRule="auto"/>
      </w:pPr>
      <w:r>
        <w:rPr>
          <w:rFonts w:ascii="宋体" w:hAnsi="宋体" w:eastAsia="宋体" w:cs="宋体"/>
          <w:color w:val="000"/>
          <w:sz w:val="28"/>
          <w:szCs w:val="28"/>
        </w:rPr>
        <w:t xml:space="preserve">（3）各模块进行测试、验证并确认。</w:t>
      </w:r>
    </w:p>
    <w:p>
      <w:pPr>
        <w:ind w:left="0" w:right="0" w:firstLine="560"/>
        <w:spacing w:before="450" w:after="450" w:line="312" w:lineRule="auto"/>
      </w:pPr>
      <w:r>
        <w:rPr>
          <w:rFonts w:ascii="宋体" w:hAnsi="宋体" w:eastAsia="宋体" w:cs="宋体"/>
          <w:color w:val="000"/>
          <w:sz w:val="28"/>
          <w:szCs w:val="28"/>
        </w:rPr>
        <w:t xml:space="preserve">（4）通过第三方进行测评。</w:t>
      </w:r>
    </w:p>
    <w:p>
      <w:pPr>
        <w:ind w:left="0" w:right="0" w:firstLine="560"/>
        <w:spacing w:before="450" w:after="450" w:line="312" w:lineRule="auto"/>
      </w:pPr>
      <w:r>
        <w:rPr>
          <w:rFonts w:ascii="宋体" w:hAnsi="宋体" w:eastAsia="宋体" w:cs="宋体"/>
          <w:color w:val="000"/>
          <w:sz w:val="28"/>
          <w:szCs w:val="28"/>
        </w:rPr>
        <w:t xml:space="preserve">（5）修改完善。</w:t>
      </w:r>
    </w:p>
    <w:p>
      <w:pPr>
        <w:ind w:left="0" w:right="0" w:firstLine="560"/>
        <w:spacing w:before="450" w:after="450" w:line="312" w:lineRule="auto"/>
      </w:pPr>
      <w:r>
        <w:rPr>
          <w:rFonts w:ascii="宋体" w:hAnsi="宋体" w:eastAsia="宋体" w:cs="宋体"/>
          <w:color w:val="000"/>
          <w:sz w:val="28"/>
          <w:szCs w:val="28"/>
        </w:rPr>
        <w:t xml:space="preserve">（6）使用培训。</w:t>
      </w:r>
    </w:p>
    <w:p>
      <w:pPr>
        <w:ind w:left="0" w:right="0" w:firstLine="560"/>
        <w:spacing w:before="450" w:after="450" w:line="312" w:lineRule="auto"/>
      </w:pPr>
      <w:r>
        <w:rPr>
          <w:rFonts w:ascii="宋体" w:hAnsi="宋体" w:eastAsia="宋体" w:cs="宋体"/>
          <w:color w:val="000"/>
          <w:sz w:val="28"/>
          <w:szCs w:val="28"/>
        </w:rPr>
        <w:t xml:space="preserve">（7）全区各地市血站安装调试。</w:t>
      </w:r>
    </w:p>
    <w:p>
      <w:pPr>
        <w:ind w:left="0" w:right="0" w:firstLine="560"/>
        <w:spacing w:before="450" w:after="450" w:line="312" w:lineRule="auto"/>
      </w:pPr>
      <w:r>
        <w:rPr>
          <w:rFonts w:ascii="宋体" w:hAnsi="宋体" w:eastAsia="宋体" w:cs="宋体"/>
          <w:color w:val="000"/>
          <w:sz w:val="28"/>
          <w:szCs w:val="28"/>
        </w:rPr>
        <w:t xml:space="preserve">（8）正式开通使用。</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网络版：客户端操作系统：Windows7/XP/20_/20_。服务器端操作系统：Windows20_/20_/20_Server，数据库：SQlSERVER20_/20_/20_。前端开发工具：Borland公司的作为主要的开发工具并配合第三方控件进行开发。</w:t>
      </w:r>
    </w:p>
    <w:p>
      <w:pPr>
        <w:ind w:left="0" w:right="0" w:firstLine="560"/>
        <w:spacing w:before="450" w:after="450" w:line="312" w:lineRule="auto"/>
      </w:pPr>
      <w:r>
        <w:rPr>
          <w:rFonts w:ascii="宋体" w:hAnsi="宋体" w:eastAsia="宋体" w:cs="宋体"/>
          <w:color w:val="000"/>
          <w:sz w:val="28"/>
          <w:szCs w:val="28"/>
        </w:rPr>
        <w:t xml:space="preserve">4系统模块设计</w:t>
      </w:r>
    </w:p>
    <w:p>
      <w:pPr>
        <w:ind w:left="0" w:right="0" w:firstLine="560"/>
        <w:spacing w:before="450" w:after="450" w:line="312" w:lineRule="auto"/>
      </w:pPr>
      <w:r>
        <w:rPr>
          <w:rFonts w:ascii="宋体" w:hAnsi="宋体" w:eastAsia="宋体" w:cs="宋体"/>
          <w:color w:val="000"/>
          <w:sz w:val="28"/>
          <w:szCs w:val="28"/>
        </w:rPr>
        <w:t xml:space="preserve">系统主要功能模块有：系统设置管理、基本资料管理、服务工时管理、培训管理、服务奖励管理、综合评价体系管理、短信发送联络管理、退队注销管理、任务计划管理共9个功能模块。各功能模块的具体作用简述如下：在管理系统中为全区各地市血站分别分配一个注册码，注册成功后，各血站的志愿者就可以登录使用，并且以此注册码作为识别不同血站的依据。</w:t>
      </w:r>
    </w:p>
    <w:p>
      <w:pPr>
        <w:ind w:left="0" w:right="0" w:firstLine="560"/>
        <w:spacing w:before="450" w:after="450" w:line="312" w:lineRule="auto"/>
      </w:pPr>
      <w:r>
        <w:rPr>
          <w:rFonts w:ascii="宋体" w:hAnsi="宋体" w:eastAsia="宋体" w:cs="宋体"/>
          <w:color w:val="000"/>
          <w:sz w:val="28"/>
          <w:szCs w:val="28"/>
        </w:rPr>
        <w:t xml:space="preserve">（1）系统设置管理模块。该模块主要设置系统的初始统一的管理标准，包括字典设置、系统参数设置、菜单权限管理、数据备份、参数设置等；</w:t>
      </w:r>
    </w:p>
    <w:p>
      <w:pPr>
        <w:ind w:left="0" w:right="0" w:firstLine="560"/>
        <w:spacing w:before="450" w:after="450" w:line="312" w:lineRule="auto"/>
      </w:pPr>
      <w:r>
        <w:rPr>
          <w:rFonts w:ascii="宋体" w:hAnsi="宋体" w:eastAsia="宋体" w:cs="宋体"/>
          <w:color w:val="000"/>
          <w:sz w:val="28"/>
          <w:szCs w:val="28"/>
        </w:rPr>
        <w:t xml:space="preserve">（2）基本资料管理模块。该模块主要是针对招募的无偿献血志愿者进行初级培训，待培训合格后进行注册，并且分配一个服务工号作为识别志愿者的唯一标识，此后志愿者服务活动的内容就以此工号进行关联。另外，该模块还可以对志愿者的注册资料进行统计和查询，建立志愿者队伍通讯录以及志愿者历史工时的登记和对已经注销的志愿者重新进行注册等内容。</w:t>
      </w:r>
    </w:p>
    <w:p>
      <w:pPr>
        <w:ind w:left="0" w:right="0" w:firstLine="560"/>
        <w:spacing w:before="450" w:after="450" w:line="312" w:lineRule="auto"/>
      </w:pPr>
      <w:r>
        <w:rPr>
          <w:rFonts w:ascii="宋体" w:hAnsi="宋体" w:eastAsia="宋体" w:cs="宋体"/>
          <w:color w:val="000"/>
          <w:sz w:val="28"/>
          <w:szCs w:val="28"/>
        </w:rPr>
        <w:t xml:space="preserve">（3）服务工时管理模块。该模块主要对已注册的志愿者服务项目及内容进行量化考核，主要是对志愿者的服务地点、服务内容、服务工时及服务表现进行登记，作为量化考核的依据。</w:t>
      </w:r>
    </w:p>
    <w:p>
      <w:pPr>
        <w:ind w:left="0" w:right="0" w:firstLine="560"/>
        <w:spacing w:before="450" w:after="450" w:line="312" w:lineRule="auto"/>
      </w:pPr>
      <w:r>
        <w:rPr>
          <w:rFonts w:ascii="宋体" w:hAnsi="宋体" w:eastAsia="宋体" w:cs="宋体"/>
          <w:color w:val="000"/>
          <w:sz w:val="28"/>
          <w:szCs w:val="28"/>
        </w:rPr>
        <w:t xml:space="preserve">（4）培训管理模块。该模块主要是对志愿者经过初级培训及岗前实习，并且能够正确引导献血者按流程进行登记、体检、采样和户外负责招募等工作，当累计服务工时达到一定数量时，可对志愿者进行更高级别的培训（中级培训、高级培训、指导培训、外出培训）及交流等方式。</w:t>
      </w:r>
    </w:p>
    <w:p>
      <w:pPr>
        <w:ind w:left="0" w:right="0" w:firstLine="560"/>
        <w:spacing w:before="450" w:after="450" w:line="312" w:lineRule="auto"/>
      </w:pPr>
      <w:r>
        <w:rPr>
          <w:rFonts w:ascii="宋体" w:hAnsi="宋体" w:eastAsia="宋体" w:cs="宋体"/>
          <w:color w:val="000"/>
          <w:sz w:val="28"/>
          <w:szCs w:val="28"/>
        </w:rPr>
        <w:t xml:space="preserve">（5）奖励管理模块。该模块主要是对志愿者的晋升采取“星级晋升制”，共分5个级别，各级别以志愿者服务工时数和服务质量进行评定。按照国家级和区级制定的标准分别制定每个星级所对应的服务工时数，程序可选择按照国家级或省级在某一时间段内进行检索统计，并显示志愿者所获得的星级级别。按照规定每年对志愿者进行一次星级评定，并且对获得五星级的志愿者进行表彰和发放荣誉证书。</w:t>
      </w:r>
    </w:p>
    <w:p>
      <w:pPr>
        <w:ind w:left="0" w:right="0" w:firstLine="560"/>
        <w:spacing w:before="450" w:after="450" w:line="312" w:lineRule="auto"/>
      </w:pPr>
      <w:r>
        <w:rPr>
          <w:rFonts w:ascii="宋体" w:hAnsi="宋体" w:eastAsia="宋体" w:cs="宋体"/>
          <w:color w:val="000"/>
          <w:sz w:val="28"/>
          <w:szCs w:val="28"/>
        </w:rPr>
        <w:t xml:space="preserve">（6）综合评价体系管理模块。该模块主要是根据志愿者服务工时满意度、服务质量满意度、出勤天数满意度计算得出综合满意度，并由此建立志愿者综合满意度评价体系，作为对志愿者进行综合考量的依据。</w:t>
      </w:r>
    </w:p>
    <w:p>
      <w:pPr>
        <w:ind w:left="0" w:right="0" w:firstLine="560"/>
        <w:spacing w:before="450" w:after="450" w:line="312" w:lineRule="auto"/>
      </w:pPr>
      <w:r>
        <w:rPr>
          <w:rFonts w:ascii="宋体" w:hAnsi="宋体" w:eastAsia="宋体" w:cs="宋体"/>
          <w:color w:val="000"/>
          <w:sz w:val="28"/>
          <w:szCs w:val="28"/>
        </w:rPr>
        <w:t xml:space="preserve">（7）短信发送联络管理模块。该模块主要是对志愿者将要进行服务的时间、地点和内容进行提前告知，并且可在节假日对志愿者进行祝福问候。</w:t>
      </w:r>
    </w:p>
    <w:p>
      <w:pPr>
        <w:ind w:left="0" w:right="0" w:firstLine="560"/>
        <w:spacing w:before="450" w:after="450" w:line="312" w:lineRule="auto"/>
      </w:pPr>
      <w:r>
        <w:rPr>
          <w:rFonts w:ascii="宋体" w:hAnsi="宋体" w:eastAsia="宋体" w:cs="宋体"/>
          <w:color w:val="000"/>
          <w:sz w:val="28"/>
          <w:szCs w:val="28"/>
        </w:rPr>
        <w:t xml:space="preserve">（8）任务计划管理模块。该模块主要是对志愿者进行的服务活动以及献血宣传活动、培训活动等制定月度、季度或年度计划，并对计划进行管理。</w:t>
      </w:r>
    </w:p>
    <w:p>
      <w:pPr>
        <w:ind w:left="0" w:right="0" w:firstLine="560"/>
        <w:spacing w:before="450" w:after="450" w:line="312" w:lineRule="auto"/>
      </w:pPr>
      <w:r>
        <w:rPr>
          <w:rFonts w:ascii="宋体" w:hAnsi="宋体" w:eastAsia="宋体" w:cs="宋体"/>
          <w:color w:val="000"/>
          <w:sz w:val="28"/>
          <w:szCs w:val="28"/>
        </w:rPr>
        <w:t xml:space="preserve">（9）志愿者退队注销管理模块。该模块主要是对长期不来参加志愿者服务并经与志愿者多次沟通仍然无效的，可对该志愿者进行退队注销处理。</w:t>
      </w:r>
    </w:p>
    <w:p>
      <w:pPr>
        <w:ind w:left="0" w:right="0" w:firstLine="560"/>
        <w:spacing w:before="450" w:after="450" w:line="312" w:lineRule="auto"/>
      </w:pPr>
      <w:r>
        <w:rPr>
          <w:rFonts w:ascii="宋体" w:hAnsi="宋体" w:eastAsia="宋体" w:cs="宋体"/>
          <w:color w:val="000"/>
          <w:sz w:val="28"/>
          <w:szCs w:val="28"/>
        </w:rPr>
        <w:t xml:space="preserve">5结果</w:t>
      </w:r>
    </w:p>
    <w:p>
      <w:pPr>
        <w:ind w:left="0" w:right="0" w:firstLine="560"/>
        <w:spacing w:before="450" w:after="450" w:line="312" w:lineRule="auto"/>
      </w:pPr>
      <w:r>
        <w:rPr>
          <w:rFonts w:ascii="宋体" w:hAnsi="宋体" w:eastAsia="宋体" w:cs="宋体"/>
          <w:color w:val="000"/>
          <w:sz w:val="28"/>
          <w:szCs w:val="28"/>
        </w:rPr>
        <w:t xml:space="preserve">（1）建立起全区无偿献血志愿者统一、规范的服务以及星级评定和奖励模式。减轻了手工管理的工作量，真正做到了无纸化操作。</w:t>
      </w:r>
    </w:p>
    <w:p>
      <w:pPr>
        <w:ind w:left="0" w:right="0" w:firstLine="560"/>
        <w:spacing w:before="450" w:after="450" w:line="312" w:lineRule="auto"/>
      </w:pPr>
      <w:r>
        <w:rPr>
          <w:rFonts w:ascii="宋体" w:hAnsi="宋体" w:eastAsia="宋体" w:cs="宋体"/>
          <w:color w:val="000"/>
          <w:sz w:val="28"/>
          <w:szCs w:val="28"/>
        </w:rPr>
        <w:t xml:space="preserve">（2）方便、快捷、高效的数据查询和统计。随着越来越多的志愿者加入，其管理的信息数据量也随之增大，因此对志愿者信息的管理也变得不易，期间要翻阅大量的手工台帐，再者对重要指标数据的统计汇总也变得非常困难，而且容易出错；</w:t>
      </w:r>
    </w:p>
    <w:p>
      <w:pPr>
        <w:ind w:left="0" w:right="0" w:firstLine="560"/>
        <w:spacing w:before="450" w:after="450" w:line="312" w:lineRule="auto"/>
      </w:pPr>
      <w:r>
        <w:rPr>
          <w:rFonts w:ascii="宋体" w:hAnsi="宋体" w:eastAsia="宋体" w:cs="宋体"/>
          <w:color w:val="000"/>
          <w:sz w:val="28"/>
          <w:szCs w:val="28"/>
        </w:rPr>
        <w:t xml:space="preserve">（3）自动判断及分析。由于在数据字典中设置了规则和标准，软件会根据这些规则和标准进行智能化的分析及判断，譬如，获得星级类别和级别、培训级别、综合评价系统等，计算机会自动进行分析判断并显示出来；</w:t>
      </w:r>
    </w:p>
    <w:p>
      <w:pPr>
        <w:ind w:left="0" w:right="0" w:firstLine="560"/>
        <w:spacing w:before="450" w:after="450" w:line="312" w:lineRule="auto"/>
      </w:pPr>
      <w:r>
        <w:rPr>
          <w:rFonts w:ascii="宋体" w:hAnsi="宋体" w:eastAsia="宋体" w:cs="宋体"/>
          <w:color w:val="000"/>
          <w:sz w:val="28"/>
          <w:szCs w:val="28"/>
        </w:rPr>
        <w:t xml:space="preserve">（4）可为全区各地市血站志愿者提供信息交流的平台，通过这个平台，可以使各地志愿者对本地区开展无偿献血志愿者服务的经验进行广泛的交流，大家相互学习，取长补短，从而促进志愿者队伍的健康发展。</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通过搭建全区志愿者信息管理平台，使全区各地无偿献血志愿者在招募、服务、培训、奖励、评价等管理方面进一步标准化、规范化，对提高志愿者服务理念和服务质量方面都起到推动作用。各地血站在对志愿者进行管理方面会产生许多数据信息，按照规定这些数据将要留档备案，并作为向国家卫计委申报表彰奖励志愿者的依据。还可以通过这个平台，使各地志愿者进行交流、讨论、沟通等，相互学习各自在志愿者服务方面的感想和感受以及先进的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第四篇</w:t>
      </w:r>
    </w:p>
    <w:p>
      <w:pPr>
        <w:ind w:left="0" w:right="0" w:firstLine="560"/>
        <w:spacing w:before="450" w:after="450" w:line="312" w:lineRule="auto"/>
      </w:pPr>
      <w:r>
        <w:rPr>
          <w:rFonts w:ascii="宋体" w:hAnsi="宋体" w:eastAsia="宋体" w:cs="宋体"/>
          <w:color w:val="000"/>
          <w:sz w:val="28"/>
          <w:szCs w:val="28"/>
        </w:rPr>
        <w:t xml:space="preserve">在你的想象中，工作应该是劳逸结合的;在你的想象中，工作应该是自由洒脱的;在你的想象中，人与人之间都应该毫无障碍的。别忘了，这些都是你的`想象而已，而现实是活生生的亦或是有些残酷的。</w:t>
      </w:r>
    </w:p>
    <w:p>
      <w:pPr>
        <w:ind w:left="0" w:right="0" w:firstLine="560"/>
        <w:spacing w:before="450" w:after="450" w:line="312" w:lineRule="auto"/>
      </w:pPr>
      <w:r>
        <w:rPr>
          <w:rFonts w:ascii="宋体" w:hAnsi="宋体" w:eastAsia="宋体" w:cs="宋体"/>
          <w:color w:val="000"/>
          <w:sz w:val="28"/>
          <w:szCs w:val="28"/>
        </w:rPr>
        <w:t xml:space="preserve">每年都有一大批毕业生选择异地就业，这就意味着理想和现实之间的差距可能会更大，现实的工作环境和工作内容与你理想的工作状态一定会有差距，只是你一定要学会调适自己的心态。想好你到底想要什么：环境、薪水、经验，如果你知道自己想要什么，就能冷静地看待自己所处的试用期或者是即将就职的岗位所要承受和面临的一切，忍耐与退让并不意味着你就是懦夫，与人相处或者面对工作中的不公待遇，这些都只是漫长人生所必要经历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第五篇</w:t>
      </w:r>
    </w:p>
    <w:p>
      <w:pPr>
        <w:ind w:left="0" w:right="0" w:firstLine="560"/>
        <w:spacing w:before="450" w:after="450" w:line="312" w:lineRule="auto"/>
      </w:pPr>
      <w:r>
        <w:rPr>
          <w:rFonts w:ascii="宋体" w:hAnsi="宋体" w:eastAsia="宋体" w:cs="宋体"/>
          <w:color w:val="000"/>
          <w:sz w:val="28"/>
          <w:szCs w:val="28"/>
        </w:rPr>
        <w:t xml:space="preserve">关键词：社团组织NGO报道议程新闻场</w:t>
      </w:r>
    </w:p>
    <w:p>
      <w:pPr>
        <w:ind w:left="0" w:right="0" w:firstLine="560"/>
        <w:spacing w:before="450" w:after="450" w:line="312" w:lineRule="auto"/>
      </w:pPr>
      <w:r>
        <w:rPr>
          <w:rFonts w:ascii="宋体" w:hAnsi="宋体" w:eastAsia="宋体" w:cs="宋体"/>
          <w:color w:val="000"/>
          <w:sz w:val="28"/>
          <w:szCs w:val="28"/>
        </w:rPr>
        <w:t xml:space="preserve">摘要：新闻生产的社会学分析，除了最常见的政治、经济等视角外，在社会结构转型的现代社会体系中，尤其需要关注各种社会性组织的影响。因为，媒体对于新闻价值和不同的非政府组织可信度的判断，会影响他们如何以及何时报道。在很多时候，这种判断是有特定语境的，往往与非政府组织独特的公共传播策略有效性相关。但结构性的变量仍然是显见的，比如媒体对半官方性质的NGO往往有较高的关注度，并且很少对这些组织提供的信息持质疑态度。</w:t>
      </w:r>
    </w:p>
    <w:p>
      <w:pPr>
        <w:ind w:left="0" w:right="0" w:firstLine="560"/>
        <w:spacing w:before="450" w:after="450" w:line="312" w:lineRule="auto"/>
      </w:pPr>
      <w:r>
        <w:rPr>
          <w:rFonts w:ascii="宋体" w:hAnsi="宋体" w:eastAsia="宋体" w:cs="宋体"/>
          <w:color w:val="000"/>
          <w:sz w:val="28"/>
          <w:szCs w:val="28"/>
        </w:rPr>
        <w:t xml:space="preserve">在现代社会，每一个组织、每一个群体甚至每个个人在争夺利益或者权利时都会尽可能在舆论场占据先机。而舆论的引导和控制，又正依赖于信息传播的全面、准确与公正与否。一旦信息占有不全面、不准确，那么舆论的生成也会发生偏差。所以从某种意义上说，在现代社会，谁占有了媒体的主导权，谁就占有了话语权，谁也就拥有了合法性。这意味着，在当今这样一个传播依赖性的社会（），任何组织的发展都不可能离开媒体。</w:t>
      </w:r>
    </w:p>
    <w:p>
      <w:pPr>
        <w:ind w:left="0" w:right="0" w:firstLine="560"/>
        <w:spacing w:before="450" w:after="450" w:line="312" w:lineRule="auto"/>
      </w:pPr>
      <w:r>
        <w:rPr>
          <w:rFonts w:ascii="宋体" w:hAnsi="宋体" w:eastAsia="宋体" w:cs="宋体"/>
          <w:color w:val="000"/>
          <w:sz w:val="28"/>
          <w:szCs w:val="28"/>
        </w:rPr>
        <w:t xml:space="preserve">对于对新闻场域的分析，除了要分析的政治、经济、知识分子以及新闻场内部的权力之争外，我们还需要分析各种企业、利益集团（如各种娱乐机构、体育团体甚至黑社会组织）以及现代社会新生的各种NGO组织（如消费者运动、红十字会、宗教团体、妇女权益保护组织、青少年组织、环境保护运动、学生民主运动等环保组织、弱势群体保护组织等等）的媒体公关力量。</w:t>
      </w:r>
    </w:p>
    <w:p>
      <w:pPr>
        <w:ind w:left="0" w:right="0" w:firstLine="560"/>
        <w:spacing w:before="450" w:after="450" w:line="312" w:lineRule="auto"/>
      </w:pPr>
      <w:r>
        <w:rPr>
          <w:rFonts w:ascii="宋体" w:hAnsi="宋体" w:eastAsia="宋体" w:cs="宋体"/>
          <w:color w:val="000"/>
          <w:sz w:val="28"/>
          <w:szCs w:val="28"/>
        </w:rPr>
        <w:t xml:space="preserve">毫无疑问，每一个组织的活动的宣传，都需要设定一个议题，那么，各种社会团体是如何设定媒体策略，通过媒体建构一个社会议题，并将自己的“解读框架”呈现于媒体之中，从而赢得议题主动权？而媒体又是如何选择报道，是如何呈现各种社会活动的镜像呢？下文我们将通过两个有代表性的案例来分析。</w:t>
      </w:r>
    </w:p>
    <w:p>
      <w:pPr>
        <w:ind w:left="0" w:right="0" w:firstLine="560"/>
        <w:spacing w:before="450" w:after="450" w:line="312" w:lineRule="auto"/>
      </w:pPr>
      <w:r>
        <w:rPr>
          <w:rFonts w:ascii="宋体" w:hAnsi="宋体" w:eastAsia="宋体" w:cs="宋体"/>
          <w:color w:val="000"/>
          <w:sz w:val="28"/>
          <w:szCs w:val="28"/>
        </w:rPr>
        <w:t xml:space="preserve">一、NGO及其媒体运作策略</w:t>
      </w:r>
    </w:p>
    <w:p>
      <w:pPr>
        <w:ind w:left="0" w:right="0" w:firstLine="560"/>
        <w:spacing w:before="450" w:after="450" w:line="312" w:lineRule="auto"/>
      </w:pPr>
      <w:r>
        <w:rPr>
          <w:rFonts w:ascii="宋体" w:hAnsi="宋体" w:eastAsia="宋体" w:cs="宋体"/>
          <w:color w:val="000"/>
          <w:sz w:val="28"/>
          <w:szCs w:val="28"/>
        </w:rPr>
        <w:t xml:space="preserve">NGO是在有限政府、市场经济、公民社会的三元社会结构框架中的一种社会组织形态。它是指在特定法律系统下，不被视为政府部门的协会、社团、基金会、慈善信托、非营利公司或其他法人，不以营利为目的的非政府组织。传统的通过政府体系统一实现公共事物管理的“统治”模式，在信息化和全球化的时代，显出了种种无效和弊端，人们不断对“统治”下的社会秩序作出反思，探讨多元主体、社会自治的“治理”型秩序的呈现。NGO和公民社会理念在现代社会的复兴，正是在治理秩序的背景下出现的，它体现了多元社会自治的治理观念。所以NGO不仅是为了承接政府办不了的事情，作政府的帮手、公益事业的补充、更多社会资源的筹集渠道等等，它是社会自治的独立主体，体现了新型的治理理念。NGO作为公民社会的组织形态，是多元化的、决策分散的、在公民的参与和表达中形成的社会自组织形式。</w:t>
      </w:r>
    </w:p>
    <w:p>
      <w:pPr>
        <w:ind w:left="0" w:right="0" w:firstLine="560"/>
        <w:spacing w:before="450" w:after="450" w:line="312" w:lineRule="auto"/>
      </w:pPr>
      <w:r>
        <w:rPr>
          <w:rFonts w:ascii="宋体" w:hAnsi="宋体" w:eastAsia="宋体" w:cs="宋体"/>
          <w:color w:val="000"/>
          <w:sz w:val="28"/>
          <w:szCs w:val="28"/>
        </w:rPr>
        <w:t xml:space="preserve">NGO在全球范围的兴起始于20世纪80年代。随着全球人口、贫困和环境问题的日益突出，人们发现仅仅依靠传统的政府和市场两级还无法解决人类的可持续发展问题。作为一种回应，NGO迅速成长。非政府组织已被列为与“企业—市场体系”和“政府—国家体系”并列的第三体系，即“非政府组织体系”。正如全球非政府组织研究的权威学者莱斯特.M.萨拉蒙教授所说：“我们是置身于一场全球性的社团革命之中，历史将证明这场革命对20世纪后期世界的重要性丝毫不亚于民族国家的兴起对于19世纪后期的世界的重要性。”据调查，美国非政府组织总数超过200万个，经费总数超过5000亿，工作人员超过900万人。如此庞大和活跃的非政府机构（NGO），是与美国“大社会，小政府”的制度结构相配套的。</w:t>
      </w:r>
    </w:p>
    <w:p>
      <w:pPr>
        <w:ind w:left="0" w:right="0" w:firstLine="560"/>
        <w:spacing w:before="450" w:after="450" w:line="312" w:lineRule="auto"/>
      </w:pPr>
      <w:r>
        <w:rPr>
          <w:rFonts w:ascii="宋体" w:hAnsi="宋体" w:eastAsia="宋体" w:cs="宋体"/>
          <w:color w:val="000"/>
          <w:sz w:val="28"/>
          <w:szCs w:val="28"/>
        </w:rPr>
        <w:t xml:space="preserve">NGO在中国有三种：一种是自上而下的产生的GONGO（政府组织的NGO），具有较长的历史和“半官方”的特色，它们是政府主办的或者由政府派出人员担任主要职务的非政府组织，例如青少年发展基金会。这些GONGO经常是有正式注册的组织，有着明确的行政等级，志愿者也主要依靠行政的动员方式来参与，带有鲜明的政府性质；但同时也为志愿者的参与提供了正式和合法的渠道。另一种多由民间人士自发成立的草根NGO，它们多由民间人士自下而上发起，直接从事公益服务或者组织社区行动。这些草根NGO缺少正式的组织，人员经常流动，但是却能相对自治，并且参与者有较强的志愿参精神。第三种是国际性的NGO，世界上最重要的NGO最有中国开展活动。因为xxx对社团甚至整个非营利部门，依然采取控制型而不是发展型的监管策略，是以中国的社团并不发达，发展也很艰难。据悉，目前全国稍具知名度的民间自发公益类NGO大约在300家左右。</w:t>
      </w:r>
    </w:p>
    <w:p>
      <w:pPr>
        <w:ind w:left="0" w:right="0" w:firstLine="560"/>
        <w:spacing w:before="450" w:after="450" w:line="312" w:lineRule="auto"/>
      </w:pPr>
      <w:r>
        <w:rPr>
          <w:rFonts w:ascii="宋体" w:hAnsi="宋体" w:eastAsia="宋体" w:cs="宋体"/>
          <w:color w:val="000"/>
          <w:sz w:val="28"/>
          <w:szCs w:val="28"/>
        </w:rPr>
        <w:t xml:space="preserve">一项对志愿组织的调查显示，与政府机构联系紧密程度比较高，即“政府接近度（governmentprocimity）”比较大的NGO组织，往往有更高的媒体交往能力。另外，“致力运动的（campaign-focused）”的组织（区别于那些主要同“人道/服务/建议”、“自助”以及“其他功能”有关的组织），被认为与各种媒体部门保有较多的交往，在硬新闻报道当中更有可能扮演“评论者”的角色。另外，拥有支薪雇员、最庞大的年度预算以及全国范围内的运作的组织，更有可能制作正式的宣传材料，从业新闻管理、吸收外界营销知识以及追踪媒介产品。</w:t>
      </w:r>
    </w:p>
    <w:p>
      <w:pPr>
        <w:ind w:left="0" w:right="0" w:firstLine="560"/>
        <w:spacing w:before="450" w:after="450" w:line="312" w:lineRule="auto"/>
      </w:pPr>
      <w:r>
        <w:rPr>
          <w:rFonts w:ascii="宋体" w:hAnsi="宋体" w:eastAsia="宋体" w:cs="宋体"/>
          <w:color w:val="000"/>
          <w:sz w:val="28"/>
          <w:szCs w:val="28"/>
        </w:rPr>
        <w:t xml:space="preserve">绿色和平是一个相当活跃的、国际上影响最大的环保NGO之一。自1971年在美国反对阿拉斯加州的核实验基地以来，绿色和平组织以其激进、顽强、坚定而闻名于世。该媒体动员模式非常专业化。通常情况下，绿色和平会提前半年到一年进行项目设计，而这时媒体策略已经成为整个项目设计中非常重要的因素，比如说，“怎样设计项目才能得到更多的媒体关注”。在绿色和平一份完整的媒体策略计划书上，往往会列明目标受众、目标媒体、媒体框架方式、故事版本等多项内容。恰当的媒体策略运用，使得它在公民利益维护、利益集团博弈以及政策倡议等方面都取得了出色的成就，也一直成为媒体关注的焦点。</w:t>
      </w:r>
    </w:p>
    <w:p>
      <w:pPr>
        <w:ind w:left="0" w:right="0" w:firstLine="560"/>
        <w:spacing w:before="450" w:after="450" w:line="312" w:lineRule="auto"/>
      </w:pPr>
      <w:r>
        <w:rPr>
          <w:rFonts w:ascii="宋体" w:hAnsi="宋体" w:eastAsia="宋体" w:cs="宋体"/>
          <w:color w:val="000"/>
          <w:sz w:val="28"/>
          <w:szCs w:val="28"/>
        </w:rPr>
        <w:t xml:space="preserve">20_年6月，绿色和平获知金光集团APP自20_年8月起与云南省政府签订了林浆纸一体化项目合作备忘录，在文山、临沧、思茅三地圈地2750万亩用于种植桉树纯人工林，并且已经对原有树木进行砍伐的消息（根据绿色和平的资料整理），于是绿色和平迅速组织工作人员到云南进行了为期半年的实地调查。20_年11月16日，绿色和平在北京召开新闻发布会，向公众和媒体发布了标志着APP事件的开始。</w:t>
      </w:r>
    </w:p>
    <w:p>
      <w:pPr>
        <w:ind w:left="0" w:right="0" w:firstLine="560"/>
        <w:spacing w:before="450" w:after="450" w:line="312" w:lineRule="auto"/>
      </w:pPr>
      <w:r>
        <w:rPr>
          <w:rFonts w:ascii="宋体" w:hAnsi="宋体" w:eastAsia="宋体" w:cs="宋体"/>
          <w:color w:val="000"/>
          <w:sz w:val="28"/>
          <w:szCs w:val="28"/>
        </w:rPr>
        <w:t xml:space="preserve">在不同媒体的配合之间，绿色和平采用了“点面结合”的方法：由一两个深度报道的媒体来充当“点”，让其介入早期的调查和采访。然后在“点”推出深度报道的同时，绿色和平召开记者招待会，向更多的媒体发布新闻稿，这是由“点”到“面”的过程。“点”是重要的议题设定者，也在很大程度上影响了议题的解读框架。在APP事件之中，“点”是《南方周末》。20_年11月16日，绿色和平在北京召开第一次新闻发布会，向公众和媒体发布《金光集团APP云南圈地毁林调查报告》以及新闻稿《绿色和平正式向xxx检举金光集团APP在云南圈地毁林》，之后第二天，就与《南方周末》记者前往云南调查，获取更多第一手的证据。到了12月16日，《南方周末》刊登了整版报道《金光集团博弈云南，亚洲最大纸浆公司圈地始末》，同一天，绿色和平在北京召开第二次新闻发布会，邀请几十家媒体到场，发布APP砍伐的最新证据，包括DVD《见证》、现场图片，以及新闻稿《APP拒绝六项承诺、绿色和平公布最新证据》。消息很快得到《北京青年报》、《中国日报》、《中国青年报》、东方卫视等11家媒体的专题报道。很快形成了由“点”到“面”的过程。</w:t>
      </w:r>
    </w:p>
    <w:p>
      <w:pPr>
        <w:ind w:left="0" w:right="0" w:firstLine="560"/>
        <w:spacing w:before="450" w:after="450" w:line="312" w:lineRule="auto"/>
      </w:pPr>
      <w:r>
        <w:rPr>
          <w:rFonts w:ascii="宋体" w:hAnsi="宋体" w:eastAsia="宋体" w:cs="宋体"/>
          <w:color w:val="000"/>
          <w:sz w:val="28"/>
          <w:szCs w:val="28"/>
        </w:rPr>
        <w:t xml:space="preserve">曾繁旭从设定目标受众群（TargetAudience）、设定目标媒体（TargetMedia）、设定议题的解读框架（Frame）、考虑不同媒体的故事版本、设定故事的链条（storyline），考虑分为几个阶段（stages）来讲述整个故事（诸如什么是故事的主体、铺垫与高潮；如何保持媒体对于事件的关注）等五个不同的方面认真分析了在在APP事件之中，绿色和平媒体攻略计划。对我们了解一个典型的案例，这对于我们掌握NGO组织与媒体之间的互动关系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职场心态论文范文大全 第六篇</w:t>
      </w:r>
    </w:p>
    <w:p>
      <w:pPr>
        <w:ind w:left="0" w:right="0" w:firstLine="560"/>
        <w:spacing w:before="450" w:after="450" w:line="312" w:lineRule="auto"/>
      </w:pPr>
      <w:r>
        <w:rPr>
          <w:rFonts w:ascii="宋体" w:hAnsi="宋体" w:eastAsia="宋体" w:cs="宋体"/>
          <w:color w:val="000"/>
          <w:sz w:val="28"/>
          <w:szCs w:val="28"/>
        </w:rPr>
        <w:t xml:space="preserve">【摘 要】随着改革开放的不断深入开展，中国的传媒体制也随之经历了一系列变迁和转型。少数媒体越来越看重经济利益，从而不可避免地导致在一定程度上被市场规范所牵引，甚至做出不顾新闻职业规范和社会伦理道德的行为。本文以20_年11月《南方都市报》“联防队员入室施暴强奸案”的报道失当为例，揭示了市场新闻业与新闻职业伦理之间的矛盾，并试图给出解决这一矛盾的方法。</w:t>
      </w:r>
    </w:p>
    <w:p>
      <w:pPr>
        <w:ind w:left="0" w:right="0" w:firstLine="560"/>
        <w:spacing w:before="450" w:after="450" w:line="312" w:lineRule="auto"/>
      </w:pPr>
      <w:r>
        <w:rPr>
          <w:rFonts w:ascii="宋体" w:hAnsi="宋体" w:eastAsia="宋体" w:cs="宋体"/>
          <w:color w:val="000"/>
          <w:sz w:val="28"/>
          <w:szCs w:val="28"/>
        </w:rPr>
        <w:t xml:space="preserve">【关键词】市场新闻业 新闻职业伦理 集体偷窥</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在这一案例中，我们看到，一个生活在社会底层家庭的不幸，为信息化时代的大众传媒提供了一场丰盛的“报道盛宴”。为了最大限度地吸引眼球和引起轰动，媒体不约而同地放弃了事件中本该引起整个社会尤其是管理部门深思的新闻点，争相上演了一场对案件受害人进行新闻暴力的“群殴”。媒体为何如此本末倒置？是什么让媒体在报道中忽略了最起码的尊重和人文关怀？笔者认为，这是媒体在市场竞争中屈从于市场规范，为达成“逐利”目的而违背新闻职业道德和社会伦理的一个体现。</w:t>
      </w:r>
    </w:p>
    <w:p>
      <w:pPr>
        <w:ind w:left="0" w:right="0" w:firstLine="560"/>
        <w:spacing w:before="450" w:after="450" w:line="312" w:lineRule="auto"/>
      </w:pPr>
      <w:r>
        <w:rPr>
          <w:rFonts w:ascii="宋体" w:hAnsi="宋体" w:eastAsia="宋体" w:cs="宋体"/>
          <w:color w:val="000"/>
          <w:sz w:val="28"/>
          <w:szCs w:val="28"/>
        </w:rPr>
        <w:t xml:space="preserve">二、市场新闻业理论</w:t>
      </w:r>
    </w:p>
    <w:p>
      <w:pPr>
        <w:ind w:left="0" w:right="0" w:firstLine="560"/>
        <w:spacing w:before="450" w:after="450" w:line="312" w:lineRule="auto"/>
      </w:pPr>
      <w:r>
        <w:rPr>
          <w:rFonts w:ascii="宋体" w:hAnsi="宋体" w:eastAsia="宋体" w:cs="宋体"/>
          <w:color w:val="000"/>
          <w:sz w:val="28"/>
          <w:szCs w:val="28"/>
        </w:rPr>
        <w:t xml:space="preserve">在我国，新闻媒介属于国有或公有机构，不涉及投资市场的运作，新闻业的市场化程度明显低于西方国家，但这并不意味着我国新闻业避免了市场化带来的影响。自从改革开放以来，新闻业经过几次转型，在“事业单位，企业化管理”的模式下，已经充分融入了市场，完全实现了自负盈亏并且成为“创利大户”。广州是中国大陆媒体竞争最为激烈的地区，这次对深圳联防队员入室施暴强奸案的报道为我们提供了一个窗口，透过这个窗口，我们可以看到市场逻辑对中国新闻业的影响。</w:t>
      </w:r>
    </w:p>
    <w:p>
      <w:pPr>
        <w:ind w:left="0" w:right="0" w:firstLine="560"/>
        <w:spacing w:before="450" w:after="450" w:line="312" w:lineRule="auto"/>
      </w:pPr>
      <w:r>
        <w:rPr>
          <w:rFonts w:ascii="宋体" w:hAnsi="宋体" w:eastAsia="宋体" w:cs="宋体"/>
          <w:color w:val="000"/>
          <w:sz w:val="28"/>
          <w:szCs w:val="28"/>
        </w:rPr>
        <w:t xml:space="preserve">事实上，“联防队员强奸案”折射出了很多现实、严酷的社会问题，比如杨喜利作为一名联防队员何以如此猖獗？有过犯罪记录的他又为何能够被联防队录用成为治安管理人员？造成受害人丈夫杨武如此软弱怯懦的社会根源是什么？而媒体却对这些关键问题一带而过甚至避而不谈，只是一味地把目光锁定在“妻子受辱”与“丈夫旁观”的强烈冲突上，而这些无非是为了夺人眼球，提高发行量，获得经济利益。在新闻规范与商业规范的交锋中，商业规范轻松获胜，媒体轻易跨越了职业伦理道德的底线，为受众提供了一场丰盛的“集体偷窥”大餐。</w:t>
      </w:r>
    </w:p>
    <w:p>
      <w:pPr>
        <w:ind w:left="0" w:right="0" w:firstLine="560"/>
        <w:spacing w:before="450" w:after="450" w:line="312" w:lineRule="auto"/>
      </w:pPr>
      <w:r>
        <w:rPr>
          <w:rFonts w:ascii="宋体" w:hAnsi="宋体" w:eastAsia="宋体" w:cs="宋体"/>
          <w:color w:val="000"/>
          <w:sz w:val="28"/>
          <w:szCs w:val="28"/>
        </w:rPr>
        <w:t xml:space="preserve">三、大众传媒与集体偷窥</w:t>
      </w:r>
    </w:p>
    <w:p>
      <w:pPr>
        <w:ind w:left="0" w:right="0" w:firstLine="560"/>
        <w:spacing w:before="450" w:after="450" w:line="312" w:lineRule="auto"/>
      </w:pPr>
      <w:r>
        <w:rPr>
          <w:rFonts w:ascii="宋体" w:hAnsi="宋体" w:eastAsia="宋体" w:cs="宋体"/>
          <w:color w:val="000"/>
          <w:sz w:val="28"/>
          <w:szCs w:val="28"/>
        </w:rPr>
        <w:t xml:space="preserve">同时，也有研究证明，媒介更钟情于对受害女性的窥视，媒体凭借男性话语霸权，自然而然地迎合在社会生活中占优势地位的男性群体的欲望，以隐晦的方式不停地追逐、展示、放大与两性相关的女性的痛苦和屈辱。对于媒体来说，“联防队员施暴强奸案”同时满足以上两点标准。首先，受害女性的悲惨遭遇可以在最大程度上迎合男性群体的窥视欲望，其中包含的暴力、色情因素完全符合媒体吸引受众眼球的标准；其次，受害人丈夫在这一事件中表现出来的出人意料的“懦弱”和“窝囊”，更让无数人在“集体偷窥”的同时感受到了优越感和消遣的乐趣。</w:t>
      </w:r>
    </w:p>
    <w:p>
      <w:pPr>
        <w:ind w:left="0" w:right="0" w:firstLine="560"/>
        <w:spacing w:before="450" w:after="450" w:line="312" w:lineRule="auto"/>
      </w:pPr>
      <w:r>
        <w:rPr>
          <w:rFonts w:ascii="宋体" w:hAnsi="宋体" w:eastAsia="宋体" w:cs="宋体"/>
          <w:color w:val="000"/>
          <w:sz w:val="28"/>
          <w:szCs w:val="28"/>
        </w:rPr>
        <w:t xml:space="preserve">对于“偷窥”是否应该归咎于大众传媒的职业道德问题，大部分学者认为，有需求才有供给，偷窥源于人类的本能需要，而媒体充其量只是释放偷窥欲望的“所罗门之瓶”；也有人认为这只是不负责任的媒体推卸责任的说辞，偷窥总是不道德的。然而不论如何，事实就是只要媒介发布类似的新闻报道，很少有人能够按耐住好奇心不去围观。比如刊登刘嘉玲被虐裸照的《东周刊》，在谴责与唾沫中遭遇停刊整顿之前，当期《东周刊》早已被抢购一空，套用一家香港报纸的形容，公众是在“边骂边看，边看边骂”。正因为如此，多数媒体往往选择放弃职业道德，屈从于市场规范。</w:t>
      </w:r>
    </w:p>
    <w:p>
      <w:pPr>
        <w:ind w:left="0" w:right="0" w:firstLine="560"/>
        <w:spacing w:before="450" w:after="450" w:line="312" w:lineRule="auto"/>
      </w:pPr>
      <w:r>
        <w:rPr>
          <w:rFonts w:ascii="宋体" w:hAnsi="宋体" w:eastAsia="宋体" w:cs="宋体"/>
          <w:color w:val="000"/>
          <w:sz w:val="28"/>
          <w:szCs w:val="28"/>
        </w:rPr>
        <w:t xml:space="preserve">当然，正如麦克玛纳斯在其著作《市场新闻业 公民自行小心》中指出的，新闻部门内部形成的两种规范——新闻规范和市场规范，并不是任何时候都背道而驰的，有些新闻事件既符合新闻规范，同时也能吸引注意力，当然会被媒体选择并加以报道。但是在多数的情况下，当一个新闻事件不能在新闻逻辑与市场逻辑上取得平衡点的时候，市场逻辑往往战胜了新闻逻辑，新闻职业伦理也就无从谈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2025-05-02T11:27:57+08:00</dcterms:created>
  <dcterms:modified xsi:type="dcterms:W3CDTF">2025-05-02T11:27:57+08:00</dcterms:modified>
</cp:coreProperties>
</file>

<file path=docProps/custom.xml><?xml version="1.0" encoding="utf-8"?>
<Properties xmlns="http://schemas.openxmlformats.org/officeDocument/2006/custom-properties" xmlns:vt="http://schemas.openxmlformats.org/officeDocument/2006/docPropsVTypes"/>
</file>