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最新形势与政策1000论文 1000论文格式免费下载(十九篇)</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形势与政策1000论文 1000论文格式免费下载一原来，这口磬和饭堂的一口大钟，它们在发声时，每秒种的振动次数——频率正好相同。每当小和尚敲响大钟时，大钟的振动使得周围的空气也随着振动起来，当声波传到老和尚房内的磬上时，由于磬的频率跟声波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形势与政策1000论文 1000论文格式免费下载篇十一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1000论文格式免费下载篇十五</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1000论文格式免费下载篇十七</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1000论文格式免费下载篇十八</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1000论文格式免费下载篇十九</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