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大学生暑期社会实践报告论文(19篇)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报告论文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大学生暑期社会实践报告论文篇十一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大学生暑期社会实践报告论文篇十五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