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202_形势与政策新冠疫情论文范文(精选3篇)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形势与政策是研究生入学考试政治理论课的内容之一。20_年研究生入学考试政治课程改革后，我对当代世界经济和政治进行了调查。 以下是为大家整理的关于20_形势与政策新冠疫情论文的文章3篇 ,欢迎品鉴！【篇一】20_形势与政策新冠疫情论文　　 摘...</w:t>
      </w:r>
    </w:p>
    <w:p>
      <w:pPr>
        <w:ind w:left="0" w:right="0" w:firstLine="560"/>
        <w:spacing w:before="450" w:after="450" w:line="312" w:lineRule="auto"/>
      </w:pPr>
      <w:r>
        <w:rPr>
          <w:rFonts w:ascii="宋体" w:hAnsi="宋体" w:eastAsia="宋体" w:cs="宋体"/>
          <w:color w:val="000"/>
          <w:sz w:val="28"/>
          <w:szCs w:val="28"/>
        </w:rPr>
        <w:t xml:space="preserve">形势与政策是研究生入学考试政治理论课的内容之一。20_年研究生入学考试政治课程改革后，我对当代世界经济和政治进行了调查。 以下是为大家整理的关于20_形势与政策新冠疫情论文的文章3篇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【篇一】20_形势与政策新冠疫情论文</w:t>
      </w:r>
    </w:p>
    <w:p>
      <w:pPr>
        <w:ind w:left="0" w:right="0" w:firstLine="560"/>
        <w:spacing w:before="450" w:after="450" w:line="312" w:lineRule="auto"/>
      </w:pPr>
      <w:r>
        <w:rPr>
          <w:rFonts w:ascii="宋体" w:hAnsi="宋体" w:eastAsia="宋体" w:cs="宋体"/>
          <w:color w:val="000"/>
          <w:sz w:val="28"/>
          <w:szCs w:val="28"/>
        </w:rPr>
        <w:t xml:space="preserve">　　 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　　 关键词：金融形势指数;指标选择</w:t>
      </w:r>
    </w:p>
    <w:p>
      <w:pPr>
        <w:ind w:left="0" w:right="0" w:firstLine="560"/>
        <w:spacing w:before="450" w:after="450" w:line="312" w:lineRule="auto"/>
      </w:pPr>
      <w:r>
        <w:rPr>
          <w:rFonts w:ascii="宋体" w:hAnsi="宋体" w:eastAsia="宋体" w:cs="宋体"/>
          <w:color w:val="000"/>
          <w:sz w:val="28"/>
          <w:szCs w:val="28"/>
        </w:rPr>
        <w:t xml:space="preserve">　　 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&gt;　　 一、货币因素</w:t>
      </w:r>
    </w:p>
    <w:p>
      <w:pPr>
        <w:ind w:left="0" w:right="0" w:firstLine="560"/>
        <w:spacing w:before="450" w:after="450" w:line="312" w:lineRule="auto"/>
      </w:pPr>
      <w:r>
        <w:rPr>
          <w:rFonts w:ascii="宋体" w:hAnsi="宋体" w:eastAsia="宋体" w:cs="宋体"/>
          <w:color w:val="000"/>
          <w:sz w:val="28"/>
          <w:szCs w:val="28"/>
        </w:rPr>
        <w:t xml:space="preserve">　　 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　　 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_）在研究的过程中，基于格兰杰因果检验为依托，对其采取了一系列的实证研究，通过进行研究后发现，由于我国货币发行过量，也就造成了这种现象的出现;刘金全等（20_）对此所阐述的观点为，两项指标之间存在相应的正相关性，而且也表现为长期协整关系。郭岩（20_）在进行研究时，采取了多种方法措施，对两项指标的相关性展开了一系列的研究与分析。刘鹏（20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　　 其次，还有许多学者认为，贷款余额和通货膨胀之间具有一定的正相关性，如果信贷增长太快，将会造成通胀的现象。Schularick等（20_）经过长时间的研究之后，深入探讨了信贷对宏观经济所产生的影响因素，他所提出的观点为，如果信贷增长太快，将会导致通胀问题出现，从而造成更多的风险因素。章晟等（20_）在进行研究的过程中，选择应用VAR模型的方法，根据所得出的结论显示，对于通货膨胀来说，信贷对其产生的影响具有一定的长期性。汪川等（20_）则提出，在信贷途径的作用下，货币政策将会对宏观经济的发展产生影响，甚至也会直接关系到本国的通胀率与价格情况。李连发等（20_）在进行研究时，以我国在1984年之后的季度数据作为调查目标，根据所得出的调查结果显示，通过采取信贷扩张的措施，产出缺口扩大，仅维持了4个季度左右的时间。李炳等（20_）在进行研究时，选择应用了机理变化型变结构协整模型作为切入点，归纳整理1996年1月至20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　&gt;　 二、利率</w:t>
      </w:r>
    </w:p>
    <w:p>
      <w:pPr>
        <w:ind w:left="0" w:right="0" w:firstLine="560"/>
        <w:spacing w:before="450" w:after="450" w:line="312" w:lineRule="auto"/>
      </w:pPr>
      <w:r>
        <w:rPr>
          <w:rFonts w:ascii="宋体" w:hAnsi="宋体" w:eastAsia="宋体" w:cs="宋体"/>
          <w:color w:val="000"/>
          <w:sz w:val="28"/>
          <w:szCs w:val="28"/>
        </w:rPr>
        <w:t xml:space="preserve">　　 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　　 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　　 Evans（20_）经研究后发现，美国的利率增长，导致通胀的发生，成本渠道最开始是源自于美国，尤其是在上世纪五十年代末到七十年代末这一期间，这种问题得到了充分体现。彭方平等（20_）在进行研究时，主要采用了非线性平滑转换平板模型，基于微观方面作为切入点，深入探讨了国内货币政策所具有的成本效应。可以得出：针对国内货币政策而言，其所具有的成本效应十分明显，也就是说，如果短期内加息的话，将会导致通货膨胀出现。蒋海等（20_）提出，对于紧缩性货币政策来说，主要体现为利率正向冲击的特点，将会于短期内造成通胀上涨。齐杨等（20_）认为，如果企业受到了利率紧缩冲击的影响，面对这种问题，则会适当增长产品的边际成本，与此同时，也会适当提高产品价格。所以，基于成本渠道的层面进行分析，在利率紧缩冲击的作用下，也会对导致通胀率有所增长。齐杨等（20_）在进行数据分析时，则是采用了广义矩估计方式，研究结果表明，如果中国存在成本渠道，利率将会对通胀产生十分显著的影响，在利率紧缩的作用下，将会导致通胀率有所提升。孟庆斌，靳晓婷和吴蕾（20_）提出在低通胀状态下利率调节对通胀影响不显著，但通胀率对利率产生正向影响表明了我国政策因素对通胀反应的及时性，如果具有较低的通胀率，利率调控也会受到限制。向丽锦和肖祖沔（20_）使用连续小波变换的方法对利率变动正负向影响物价水平的问题进行了实证分析。根据研究结果显示，当处于短期的条件内，如果通胀率发生变化，将会导致利率也会发生同方向变化，若是在长期的状态中，随着利率的变化，导致通胀率也出现了同方向变化。 三、汇率</w:t>
      </w:r>
    </w:p>
    <w:p>
      <w:pPr>
        <w:ind w:left="0" w:right="0" w:firstLine="560"/>
        <w:spacing w:before="450" w:after="450" w:line="312" w:lineRule="auto"/>
      </w:pPr>
      <w:r>
        <w:rPr>
          <w:rFonts w:ascii="宋体" w:hAnsi="宋体" w:eastAsia="宋体" w:cs="宋体"/>
          <w:color w:val="000"/>
          <w:sz w:val="28"/>
          <w:szCs w:val="28"/>
        </w:rPr>
        <w:t xml:space="preserve">　　 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_）在进行研究时，则采用了定量方法，对各项指标展开了一系列的分析，根据所得出的研究结果表明，围绕长期层面进行分析，货币供应与汇率将会反向影响到通胀压力来说。陈浪南等（20_）对此所阐述的观点为，若是名义有效汇率出现了升值的情况，则会降低所面临的通胀风险。贾凯威（20_）选择应用几何加权平均法进行研究，主要测度了省际区域所具有的实际有效汇率，根据研究结果表明，如果人民币升值的话，对于区域通胀也会产生抑制作用，甚至也会具有截面异质性的效果。纪敏等（20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　　 很多人认为，该项指标与通胀之间呈现为一定的正相关性，项后军等（20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_）在对境内热钱进行精准测度之后，采用格兰杰因果检验等，对热钱、汇率以及价格水平等各项指标的关系进行分析，经研究后发现，导致物价上涨的原因有两个，即：人民币升值与热钱流入。学者朱建平等（20_）通过进行研究之后发现，当人民币升值之后，并没有抑制到通胀水平，然而，却提高了国内的价格水平。李玲等（20_）采用结构向量自回归的方式，在20_年之后，随着汇率改革的持续推进，通胀现象也随之增加，受到人民币升值的影响，也容易出现输入性通货膨胀的问题。林博（20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　&gt;　 四、资产价格</w:t>
      </w:r>
    </w:p>
    <w:p>
      <w:pPr>
        <w:ind w:left="0" w:right="0" w:firstLine="560"/>
        <w:spacing w:before="450" w:after="450" w:line="312" w:lineRule="auto"/>
      </w:pPr>
      <w:r>
        <w:rPr>
          <w:rFonts w:ascii="宋体" w:hAnsi="宋体" w:eastAsia="宋体" w:cs="宋体"/>
          <w:color w:val="000"/>
          <w:sz w:val="28"/>
          <w:szCs w:val="28"/>
        </w:rPr>
        <w:t xml:space="preserve">　　 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_）认为，在资产价格这项指标的作用下，导致高通胀风险出现的渠道主要由以下几种，即：财富效应、预期效应、托宾Q值效应以及信用通道，与此同时，也提出了在宏观经济与金融市场的发展中，资产价格所产生的影响。李强（20_）在进行研究后发现，通过探讨通货膨胀与资产价格之间的相关性，得出了“货币激活论”，即资产价格的上升，会降低居民的储蓄意愿，货币会流向资产交易市场，从而引发通货膨胀水平上升。纪敏等（20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_）通过进行研究后发现，无论是房地产，亦或者是股票价格，对于通胀的同向影响都是十分显著的。刘金全等（20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　　 很多人在进行研究时，也重点探讨了二者的负相关性。Fama（1981）在进行研究时，以货币数量论与货币需求理论作为切入点，所得出的结论为股票收益率与物价水平之间具有一定的负相关性。经朝明等（20_）在进行研究时，选择国内1985年-20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_）对此所阐述的观点为，若是通胀率有所上升，那么供给冲击将会对其产生一定程度的影响，也会与股票收益率存在负相关的关系;若是需求冲击带来的则是正相关。于扬（20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　　&gt; 五、结论</w:t>
      </w:r>
    </w:p>
    <w:p>
      <w:pPr>
        <w:ind w:left="0" w:right="0" w:firstLine="560"/>
        <w:spacing w:before="450" w:after="450" w:line="312" w:lineRule="auto"/>
      </w:pPr>
      <w:r>
        <w:rPr>
          <w:rFonts w:ascii="宋体" w:hAnsi="宋体" w:eastAsia="宋体" w:cs="宋体"/>
          <w:color w:val="000"/>
          <w:sz w:val="28"/>
          <w:szCs w:val="28"/>
        </w:rPr>
        <w:t xml:space="preserve">　　 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[1]陈晓燕，江可申，钟大成.基于状态空间模型的汇率和货币供给对通货膨胀影响的实证分析——基于央行资产负债表的视角[J].技术经济，20_，34（04）：95-100.</w:t>
      </w:r>
    </w:p>
    <w:p>
      <w:pPr>
        <w:ind w:left="0" w:right="0" w:firstLine="560"/>
        <w:spacing w:before="450" w:after="450" w:line="312" w:lineRule="auto"/>
      </w:pPr>
      <w:r>
        <w:rPr>
          <w:rFonts w:ascii="宋体" w:hAnsi="宋体" w:eastAsia="宋体" w:cs="宋体"/>
          <w:color w:val="000"/>
          <w:sz w:val="28"/>
          <w:szCs w:val="28"/>
        </w:rPr>
        <w:t xml:space="preserve">　　 [2]范从来，盛天翔，王宇伟.信贷量经济效应的期限结构研究[J].经济研究，20_，47（01）：80-91.</w:t>
      </w:r>
    </w:p>
    <w:p>
      <w:pPr>
        <w:ind w:left="0" w:right="0" w:firstLine="560"/>
        <w:spacing w:before="450" w:after="450" w:line="312" w:lineRule="auto"/>
      </w:pPr>
      <w:r>
        <w:rPr>
          <w:rFonts w:ascii="宋体" w:hAnsi="宋体" w:eastAsia="宋体" w:cs="宋体"/>
          <w:color w:val="000"/>
          <w:sz w:val="28"/>
          <w:szCs w:val="28"/>
        </w:rPr>
        <w:t xml:space="preserve">　　 [3]李炳，袁威.货币信贷结构对宏观经济的机理性影响——兼对“中国货币迷失之谜”的再解释[J].金融研究，20_（11）：33-46.</w:t>
      </w:r>
    </w:p>
    <w:p>
      <w:pPr>
        <w:ind w:left="0" w:right="0" w:firstLine="560"/>
        <w:spacing w:before="450" w:after="450" w:line="312" w:lineRule="auto"/>
      </w:pPr>
      <w:r>
        <w:rPr>
          <w:rFonts w:ascii="宋体" w:hAnsi="宋体" w:eastAsia="宋体" w:cs="宋体"/>
          <w:color w:val="000"/>
          <w:sz w:val="28"/>
          <w:szCs w:val="28"/>
        </w:rPr>
        <w:t xml:space="preserve">　　 [4]向丽锦，肖祖沔.低利率一定会推升通货膨胀吗——基于时间频率双尺度下连续小波变换的实证分析[J].金融经济学研究，20_，33（02）：14-24.</w:t>
      </w:r>
    </w:p>
    <w:p>
      <w:pPr>
        <w:ind w:left="0" w:right="0" w:firstLine="560"/>
        <w:spacing w:before="450" w:after="450" w:line="312" w:lineRule="auto"/>
      </w:pPr>
      <w:r>
        <w:rPr>
          <w:rFonts w:ascii="宋体" w:hAnsi="宋体" w:eastAsia="宋体" w:cs="宋体"/>
          <w:color w:val="000"/>
          <w:sz w:val="28"/>
          <w:szCs w:val="28"/>
        </w:rPr>
        <w:t xml:space="preserve">　　 [5]范志勇，徐赟.中国货币政策冲击的真实利率渠道：国际比较与政策含义[J].世界经济，20_（11）：26-33.</w:t>
      </w:r>
    </w:p>
    <w:p>
      <w:pPr>
        <w:ind w:left="0" w:right="0" w:firstLine="560"/>
        <w:spacing w:before="450" w:after="450" w:line="312" w:lineRule="auto"/>
      </w:pPr>
      <w:r>
        <w:rPr>
          <w:rFonts w:ascii="宋体" w:hAnsi="宋体" w:eastAsia="宋体" w:cs="宋体"/>
          <w:color w:val="000"/>
          <w:sz w:val="28"/>
          <w:szCs w:val="28"/>
        </w:rPr>
        <w:t xml:space="preserve">　　 [6]王小叶，赵昕东，蔡璐.人民币汇率波动对我国流动性与通货膨胀率的影响效果研究[J].宏观经济研究，20_（05）：18-22+37.</w:t>
      </w:r>
    </w:p>
    <w:p>
      <w:pPr>
        <w:ind w:left="0" w:right="0" w:firstLine="560"/>
        <w:spacing w:before="450" w:after="450" w:line="312" w:lineRule="auto"/>
      </w:pPr>
      <w:r>
        <w:rPr>
          <w:rFonts w:ascii="宋体" w:hAnsi="宋体" w:eastAsia="宋体" w:cs="宋体"/>
          <w:color w:val="000"/>
          <w:sz w:val="28"/>
          <w:szCs w:val="28"/>
        </w:rPr>
        <w:t xml:space="preserve">　　 [7]林博.汇率波动、货币供给与通货膨胀——基于状态空间模型的实证研究[J].经济问题探索，20_（04）：115-119.</w:t>
      </w:r>
    </w:p>
    <w:p>
      <w:pPr>
        <w:ind w:left="0" w:right="0" w:firstLine="560"/>
        <w:spacing w:before="450" w:after="450" w:line="312" w:lineRule="auto"/>
      </w:pPr>
      <w:r>
        <w:rPr>
          <w:rFonts w:ascii="宋体" w:hAnsi="宋体" w:eastAsia="宋体" w:cs="宋体"/>
          <w:color w:val="000"/>
          <w:sz w:val="28"/>
          <w:szCs w:val="28"/>
        </w:rPr>
        <w:t xml:space="preserve">　　 [8]贾凯威.汇率波动对区域经济增长及通货膨胀影响分析[J].统计与决策，20_（04）：150-154.</w:t>
      </w:r>
    </w:p>
    <w:p>
      <w:pPr>
        <w:ind w:left="0" w:right="0" w:firstLine="560"/>
        <w:spacing w:before="450" w:after="450" w:line="312" w:lineRule="auto"/>
      </w:pPr>
      <w:r>
        <w:rPr>
          <w:rFonts w:ascii="宋体" w:hAnsi="宋体" w:eastAsia="宋体" w:cs="宋体"/>
          <w:color w:val="000"/>
          <w:sz w:val="28"/>
          <w:szCs w:val="28"/>
        </w:rPr>
        <w:t xml:space="preserve">　　 [9]刘金全，李书.我国资产价格、通货膨胀与货币政策选择[J].南京社会科学，20_（04）：27-36.</w:t>
      </w:r>
    </w:p>
    <w:p>
      <w:pPr>
        <w:ind w:left="0" w:right="0" w:firstLine="560"/>
        <w:spacing w:before="450" w:after="450" w:line="312" w:lineRule="auto"/>
      </w:pPr>
      <w:r>
        <w:rPr>
          <w:rFonts w:ascii="宋体" w:hAnsi="宋体" w:eastAsia="宋体" w:cs="宋体"/>
          <w:color w:val="000"/>
          <w:sz w:val="28"/>
          <w:szCs w:val="28"/>
        </w:rPr>
        <w:t xml:space="preserve">　　 [10]齐红倩，席旭文.资产价格具有通货膨胀指示作用吗——基于LT-TVP-VAR模型的实证研究[J].南方经济，20_（10）：33-48.</w:t>
      </w:r>
    </w:p>
    <w:p>
      <w:pPr>
        <w:ind w:left="0" w:right="0" w:firstLine="560"/>
        <w:spacing w:before="450" w:after="450" w:line="312" w:lineRule="auto"/>
      </w:pPr>
      <w:r>
        <w:rPr>
          <w:rFonts w:ascii="宋体" w:hAnsi="宋体" w:eastAsia="宋体" w:cs="宋体"/>
          <w:color w:val="000"/>
          <w:sz w:val="28"/>
          <w:szCs w:val="28"/>
        </w:rPr>
        <w:t xml:space="preserve">　　 [11]于扬.中国资产价格对通货膨胀影响效应分析[J].经济论坛，20_（10）：4-6.</w:t>
      </w:r>
    </w:p>
    <w:p>
      <w:pPr>
        <w:ind w:left="0" w:right="0" w:firstLine="560"/>
        <w:spacing w:before="450" w:after="450" w:line="312" w:lineRule="auto"/>
      </w:pPr>
      <w:r>
        <w:rPr>
          <w:rFonts w:ascii="宋体" w:hAnsi="宋体" w:eastAsia="宋体" w:cs="宋体"/>
          <w:color w:val="000"/>
          <w:sz w:val="28"/>
          <w:szCs w:val="28"/>
        </w:rPr>
        <w:t xml:space="preserve">　　 作者简介：柴杰（1994-），男，安徽合肥人，南京财经大学金融学院，硕士研究生，研究方向：货币理论与政策</w:t>
      </w:r>
    </w:p>
    <w:p>
      <w:pPr>
        <w:ind w:left="0" w:right="0" w:firstLine="560"/>
        <w:spacing w:before="450" w:after="450" w:line="312" w:lineRule="auto"/>
      </w:pPr>
      <w:r>
        <w:rPr>
          <w:rFonts w:ascii="黑体" w:hAnsi="黑体" w:eastAsia="黑体" w:cs="黑体"/>
          <w:color w:val="000000"/>
          <w:sz w:val="36"/>
          <w:szCs w:val="36"/>
          <w:b w:val="1"/>
          <w:bCs w:val="1"/>
        </w:rPr>
        <w:t xml:space="preserve">【篇二】20_形势与政策新冠疫情论文</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_年底，我区常住人口2528.6万人，占全国人口的1.82%，在31个省、自治区、直辖市中排第23位；比20_年增加56.4万人，年均增加8.06万人，年均增长3.2‰，低于全国年均增长5.2‰的水平。一是盟市人口增减各不相同。20_—20_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_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_年的251.1万人；比重由20_年的7.56%提高到20_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_年65岁及以上人口占总人口的比例比202_年提高了2.3个百分点。农村牧区由于大量青壮年人口流向城市，人口老龄化问题更为突出。人口流出幅度大的盟市人口老龄化程度偏高。据推算，20_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[1]河南省人民政府办公厅关于印发河南省人口发展规划（20_-202_年）的通知[Z]，河南省人民政府公报，20_-08-10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　　 [2]关于印发河南省人口发展规划（20_—202_年）的通知[OL].http：//news.dahe.cn/.20_.</w:t>
      </w:r>
    </w:p>
    <w:p>
      <w:pPr>
        <w:ind w:left="0" w:right="0" w:firstLine="560"/>
        <w:spacing w:before="450" w:after="450" w:line="312" w:lineRule="auto"/>
      </w:pPr>
      <w:r>
        <w:rPr>
          <w:rFonts w:ascii="宋体" w:hAnsi="宋体" w:eastAsia="宋体" w:cs="宋体"/>
          <w:color w:val="000"/>
          <w:sz w:val="28"/>
          <w:szCs w:val="28"/>
        </w:rPr>
        <w:t xml:space="preserve">　　 [3]韩似凤.人口老龄化背景下医养结合模式的问题及对策研究[D].长沙：国防科学技术大学硕士论文.20_.</w:t>
      </w:r>
    </w:p>
    <w:p>
      <w:pPr>
        <w:ind w:left="0" w:right="0" w:firstLine="560"/>
        <w:spacing w:before="450" w:after="450" w:line="312" w:lineRule="auto"/>
      </w:pPr>
      <w:r>
        <w:rPr>
          <w:rFonts w:ascii="宋体" w:hAnsi="宋体" w:eastAsia="宋体" w:cs="宋体"/>
          <w:color w:val="000"/>
          <w:sz w:val="28"/>
          <w:szCs w:val="28"/>
        </w:rPr>
        <w:t xml:space="preserve">　　 [4]国务院关于印发国家人口发展规划（20_—202_年）的通知[OL].中华人民共和国中央人民政府网站.20_-12-30.</w:t>
      </w:r>
    </w:p>
    <w:p>
      <w:pPr>
        <w:ind w:left="0" w:right="0" w:firstLine="560"/>
        <w:spacing w:before="450" w:after="450" w:line="312" w:lineRule="auto"/>
      </w:pPr>
      <w:r>
        <w:rPr>
          <w:rFonts w:ascii="宋体" w:hAnsi="宋体" w:eastAsia="宋体" w:cs="宋体"/>
          <w:color w:val="000"/>
          <w:sz w:val="28"/>
          <w:szCs w:val="28"/>
        </w:rPr>
        <w:t xml:space="preserve">　　 [5]山东省人民政府关于印发山东省新旧动能转换重大工程实施规划的通知[Z].山东省人民政府公报.20_-02-28.</w:t>
      </w:r>
    </w:p>
    <w:p>
      <w:pPr>
        <w:ind w:left="0" w:right="0" w:firstLine="560"/>
        <w:spacing w:before="450" w:after="450" w:line="312" w:lineRule="auto"/>
      </w:pPr>
      <w:r>
        <w:rPr>
          <w:rFonts w:ascii="宋体" w:hAnsi="宋体" w:eastAsia="宋体" w:cs="宋体"/>
          <w:color w:val="000"/>
          <w:sz w:val="28"/>
          <w:szCs w:val="28"/>
        </w:rPr>
        <w:t xml:space="preserve">　　 [6]田克敏.对电力行业加强人才队伍建设的思考[J].广东科技，20_，（8）.</w:t>
      </w:r>
    </w:p>
    <w:p>
      <w:pPr>
        <w:ind w:left="0" w:right="0" w:firstLine="560"/>
        <w:spacing w:before="450" w:after="450" w:line="312" w:lineRule="auto"/>
      </w:pPr>
      <w:r>
        <w:rPr>
          <w:rFonts w:ascii="宋体" w:hAnsi="宋体" w:eastAsia="宋体" w:cs="宋体"/>
          <w:color w:val="000"/>
          <w:sz w:val="28"/>
          <w:szCs w:val="28"/>
        </w:rPr>
        <w:t xml:space="preserve">　　 [7]赵建军.大唐安徽分公司加强人才队伍建设的思考[J].中国电力教育，20_，（1）.</w:t>
      </w:r>
    </w:p>
    <w:p>
      <w:pPr>
        <w:ind w:left="0" w:right="0" w:firstLine="560"/>
        <w:spacing w:before="450" w:after="450" w:line="312" w:lineRule="auto"/>
      </w:pPr>
      <w:r>
        <w:rPr>
          <w:rFonts w:ascii="宋体" w:hAnsi="宋体" w:eastAsia="宋体" w:cs="宋体"/>
          <w:color w:val="000"/>
          <w:sz w:val="28"/>
          <w:szCs w:val="28"/>
        </w:rPr>
        <w:t xml:space="preserve">　　 [8]台州市发改委课题组.台州市人口预测与发展趋势研究——基于PADIS-INT的分析[J].台州学院学报，20_，（8）</w:t>
      </w:r>
    </w:p>
    <w:p>
      <w:pPr>
        <w:ind w:left="0" w:right="0" w:firstLine="560"/>
        <w:spacing w:before="450" w:after="450" w:line="312" w:lineRule="auto"/>
      </w:pPr>
      <w:r>
        <w:rPr>
          <w:rFonts w:ascii="宋体" w:hAnsi="宋体" w:eastAsia="宋体" w:cs="宋体"/>
          <w:color w:val="000"/>
          <w:sz w:val="28"/>
          <w:szCs w:val="28"/>
        </w:rPr>
        <w:t xml:space="preserve">　　 [9]刘燕群，董林，乐明.武汉市中心城区养老现状调查分析[J].产业与科技论坛，20_，（12）.</w:t>
      </w:r>
    </w:p>
    <w:p>
      <w:pPr>
        <w:ind w:left="0" w:right="0" w:firstLine="560"/>
        <w:spacing w:before="450" w:after="450" w:line="312" w:lineRule="auto"/>
      </w:pPr>
      <w:r>
        <w:rPr>
          <w:rFonts w:ascii="宋体" w:hAnsi="宋体" w:eastAsia="宋体" w:cs="宋体"/>
          <w:color w:val="000"/>
          <w:sz w:val="28"/>
          <w:szCs w:val="28"/>
        </w:rPr>
        <w:t xml:space="preserve">　　 [10]李瑶.失能老人社区长期照护现状、问题、对策研究.西安：西北大学硕士论文.20_，（12）.</w:t>
      </w:r>
    </w:p>
    <w:p>
      <w:pPr>
        <w:ind w:left="0" w:right="0" w:firstLine="560"/>
        <w:spacing w:before="450" w:after="450" w:line="312" w:lineRule="auto"/>
      </w:pPr>
      <w:r>
        <w:rPr>
          <w:rFonts w:ascii="黑体" w:hAnsi="黑体" w:eastAsia="黑体" w:cs="黑体"/>
          <w:color w:val="000000"/>
          <w:sz w:val="36"/>
          <w:szCs w:val="36"/>
          <w:b w:val="1"/>
          <w:bCs w:val="1"/>
        </w:rPr>
        <w:t xml:space="preserve">【篇三】20_形势与政策新冠疫情论文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2025-07-18T16:32:17+08:00</dcterms:created>
  <dcterms:modified xsi:type="dcterms:W3CDTF">2025-07-18T16:32:17+08:00</dcterms:modified>
</cp:coreProperties>
</file>

<file path=docProps/custom.xml><?xml version="1.0" encoding="utf-8"?>
<Properties xmlns="http://schemas.openxmlformats.org/officeDocument/2006/custom-properties" xmlns:vt="http://schemas.openxmlformats.org/officeDocument/2006/docPropsVTypes"/>
</file>