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关于疫情的论文形势与政策3000字最新</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在当前疫情面前，学校号召老师给我们大家在网络上教学，形势与政策也有关于疫情的课程本站今天为大家精心准备了关于疫情的论文形势与政策3000字最新,希望对大家有所帮助!　　关于疫情的论文形势与政策3000字最新　　近日，中共中央印发了《关于加强...</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在当前疫情面前，学校号召老师给我们大家在网络上教学，形势与政策也有关于疫情的课程本站今天为大家精心准备了关于疫情的论文形势与政策3000字最新,希望对大家有所帮助![_TAG_h2]　　关于疫情的论文形势与政策3000字最新</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　　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　　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　　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　　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　　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