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人力资源年终工作总结202_字</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202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一、组织制度建设</w:t>
      </w:r>
    </w:p>
    <w:p>
      <w:pPr>
        <w:ind w:left="0" w:right="0" w:firstLine="560"/>
        <w:spacing w:before="450" w:after="450" w:line="312" w:lineRule="auto"/>
      </w:pPr>
      <w:r>
        <w:rPr>
          <w:rFonts w:ascii="宋体" w:hAnsi="宋体" w:eastAsia="宋体" w:cs="宋体"/>
          <w:color w:val="000"/>
          <w:sz w:val="28"/>
          <w:szCs w:val="28"/>
        </w:rPr>
        <w:t xml:space="preserve">　　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　　三、员工培训与开发</w:t>
      </w:r>
    </w:p>
    <w:p>
      <w:pPr>
        <w:ind w:left="0" w:right="0" w:firstLine="560"/>
        <w:spacing w:before="450" w:after="450" w:line="312" w:lineRule="auto"/>
      </w:pPr>
      <w:r>
        <w:rPr>
          <w:rFonts w:ascii="宋体" w:hAnsi="宋体" w:eastAsia="宋体" w:cs="宋体"/>
          <w:color w:val="000"/>
          <w:sz w:val="28"/>
          <w:szCs w:val="28"/>
        </w:rPr>
        <w:t xml:space="preserve">　　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　　四、绩效考核管理根据公平、公正、公开的工资管理办法，积极完善公司原有的绩效考核办法，严格落实考核制度，重点考核产量、质量、电耗、煤耗、费用、安全、环保、卫生及其它工作质量。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　　五、工资和工资性费用管理方面</w:t>
      </w:r>
    </w:p>
    <w:p>
      <w:pPr>
        <w:ind w:left="0" w:right="0" w:firstLine="560"/>
        <w:spacing w:before="450" w:after="450" w:line="312" w:lineRule="auto"/>
      </w:pPr>
      <w:r>
        <w:rPr>
          <w:rFonts w:ascii="宋体" w:hAnsi="宋体" w:eastAsia="宋体" w:cs="宋体"/>
          <w:color w:val="000"/>
          <w:sz w:val="28"/>
          <w:szCs w:val="28"/>
        </w:rPr>
        <w:t xml:space="preserve">　　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　　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　　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　　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　　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平，在实现自我发展目标时快乐地享受生活，享受工作，与公司共同在实现自我发展目标时快乐地享受生活，享受工作，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