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物流员工年终总结报告_物流行业工作年终总结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物流员工年终总结报告_物流行业工作年终总结（精选3篇）物流员工年终总结报告_物流行业工作年终总结 篇1 20xx年，是公司领导克服各种困难，带领大家开源节流，想方设法扩大业务收入，平稳发展的一年;也是我物流部根据公司领导的指示，精益管理、严...</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物流员工年终总结报告_物流行业工作年终总结（精选3篇）</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篇1</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篇2</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物流员工年终总结报告三</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篇3</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