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乡村振兴年终工作总结集合15篇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以下是为大家整理的关于乡村振兴年终工作总结的文章15篇 ,欢迎品鉴！【篇一】乡村振兴年终工作总结　　为全面推进我县乡村振兴工作，近年来，县城管...</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以下是为大家整理的关于乡村振兴年终工作总结的文章15篇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【篇二】乡村振兴年终工作总结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【篇三】乡村振兴年终工作总结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【篇五】乡村振兴年终工作总结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【篇七】乡村振兴年终工作总结</w:t>
      </w:r>
    </w:p>
    <w:p>
      <w:pPr>
        <w:ind w:left="0" w:right="0" w:firstLine="560"/>
        <w:spacing w:before="450" w:after="450" w:line="312" w:lineRule="auto"/>
      </w:pPr>
      <w:r>
        <w:rPr>
          <w:rFonts w:ascii="宋体" w:hAnsi="宋体" w:eastAsia="宋体" w:cs="宋体"/>
          <w:color w:val="000"/>
          <w:sz w:val="28"/>
          <w:szCs w:val="28"/>
        </w:rPr>
        <w:t xml:space="preserve">　　根据《2024年度郎溪县实施乡村振兴战略实绩考核工作方案》（郎农工办【2024】55号）文件精神,现将我局工作开展情况汇报如下: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2024】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2024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【篇十】乡村振兴年终工作总结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重大政治任务。作为文昌市铺前镇乡村振兴运动员，两年来，我坚持以习近平新时代特色社会主义思想为指导，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　　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　　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【篇十一】乡村振兴年终工作总结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2024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【篇十二】乡村振兴年终工作总结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2024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【篇十三】乡村振兴年终工作总结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【篇十四】乡村振兴年终工作总结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【篇十五】乡村振兴年终工作总结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