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学校2024年落实全面从严治党主体责任工作总结</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　　学校2...</w:t>
      </w:r>
    </w:p>
    <w:p>
      <w:pPr>
        <w:ind w:left="0" w:right="0" w:firstLine="560"/>
        <w:spacing w:before="450" w:after="450" w:line="312" w:lineRule="auto"/>
      </w:pPr>
      <w:r>
        <w:rPr>
          <w:rFonts w:ascii="宋体" w:hAnsi="宋体" w:eastAsia="宋体" w:cs="宋体"/>
          <w:color w:val="000"/>
          <w:sz w:val="28"/>
          <w:szCs w:val="28"/>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_TAG_h2]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