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师德古来有之，不同时代对师德有不同的要求，现代师德是对古代师德的继承与发展，知识经济时代对师德赋予了新的内涵。以下是小编整理了关于学校师德师风建设工作总结，一起来看看吧!&gt;教师师德师风建设总结1最近，在学校的组织下我...</w:t>
      </w:r>
    </w:p>
    <w:p>
      <w:pPr>
        <w:ind w:left="0" w:right="0" w:firstLine="560"/>
        <w:spacing w:before="450" w:after="450" w:line="312" w:lineRule="auto"/>
      </w:pPr>
      <w:r>
        <w:rPr>
          <w:rFonts w:ascii="宋体" w:hAnsi="宋体" w:eastAsia="宋体" w:cs="宋体"/>
          <w:color w:val="000"/>
          <w:sz w:val="28"/>
          <w:szCs w:val="28"/>
        </w:rPr>
        <w:t xml:space="preserve">学校师德师风建设工作总结</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师德古来有之，不同时代对师德有不同的要求，现代师德是对古代师德的继承与发展，知识经济时代对师德赋予了新的内涵。以下是小编整理了关于学校师德师风建设工作总结，一起来看看吧!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&gt;教师师德师风建设总结1</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&gt;教师师德师风建设总结2</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　　</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&gt;教师师德师风建设总结3</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&gt;教师师德师风建设总结4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&gt;教师师德师风建设总结5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