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最新学校政教办公室工作总结汇总(四篇)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学校政教办公室工作总结三</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