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关于大学生暑假金工实习心得体会汇总(8篇)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大学生暑假金工实习心得体会汇总一经过几天的休整，当刚回家时的兴奋与惬意渐渐淡去，我回想了一下自己这半年的学习生活，虽然在学校里的生活平静而快乐，可我却看到了潜在的“危机”——就业危机。在大学这个相对自由的天地里，同学们都在努力的通过各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关于大学生暑假金工实习心得体会汇总一</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关于大学生暑假金工实习心得体会汇总二</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关于大学生暑假金工实习心得体会汇总四</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关于大学生暑假金工实习心得体会汇总五</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关于大学生暑假金工实习心得体会汇总八</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