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如何写大学生歌唱比赛策划书汇总(7篇)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歌唱比赛策划书汇总一一、实习所在分行情况交通银行太原分行，位于太原市太原市南城区解放路111号，太原分行坚持锐意改革，开拓进取，始终以提高经营效益为中心，以建设现代化、规范化的商业银行为目标，不断进行业务手段和经营方式的创新，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如何写大学生歌唱比赛策划书汇总一</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如何写大学生歌唱比赛策划书汇总六</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如何写大学生歌唱比赛策划书汇总七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