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最新广东清晖园导游词范本(七篇)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广东清晖园导游词范本一在进园之前，我先简单给大家介绍清晖园的建造历史。好了，朋友们听完我一番讲解之后，就会清楚地知道，清晖园没有正式建造前是状元、礼部尚书黄士俊的园林旧址，距今360年;而它真正的主人是清代进士龙廷槐的曾孙龙渚惠，于16...</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最新广东清晖园导游词范本一</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最新广东清晖园导游词范本二</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最新广东清晖园导游词范本四</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