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最新乡镇纪委书记述职述廉报告如何写(二篇)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乡镇纪委书记述职述廉报告如何写一一是准确把握“四种形态”，强化监督执纪效果。认真开展监督检查工作，突出加强对“移风易俗”、“扫黑除恶”、“强农惠农资金使用”、“环境整治”、“两违”、“清产核资”、“产权制度改革”等专项整治工作的监督。2...</w:t>
      </w:r>
    </w:p>
    <w:p>
      <w:pPr>
        <w:ind w:left="0" w:right="0" w:firstLine="560"/>
        <w:spacing w:before="450" w:after="450" w:line="312" w:lineRule="auto"/>
      </w:pPr>
      <w:r>
        <w:rPr>
          <w:rFonts w:ascii="黑体" w:hAnsi="黑体" w:eastAsia="黑体" w:cs="黑体"/>
          <w:color w:val="000000"/>
          <w:sz w:val="36"/>
          <w:szCs w:val="36"/>
          <w:b w:val="1"/>
          <w:bCs w:val="1"/>
        </w:rPr>
        <w:t xml:space="preserve">最新乡镇纪委书记述职述廉报告如何写一</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最新乡镇纪委书记述职述廉报告如何写二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