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精选低保续保申请书怎么写</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低保续保申请书怎么写一经过一年多的调研，市民政局对《城市居民最低生活保障办法》进行了修订，新的《最低生活保障办法》已经20xx年3月25日市政府第13次常务会议通过，并由市政府第120号令布，7月1日起该办法将在全市实行，民政低保工作个...</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精选低保续保申请书怎么写一</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精选低保续保申请书怎么写二</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精选低保续保申请书怎么写三</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国棉社区原有低保户74户179人，总保金额：16961元。今年1月取消低保5户，调整低保5户，减少580元，为在网的165人每月加8元生活补贴，共计69户16978元。在取消低保中有１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劳改释放人员办理了低保，有效地行使了低保的稳定剂作用。其中1个家庭：户主残疾，劳改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国棉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94.88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国棉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国棉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国棉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国棉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国棉社区低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