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最新春季运动会口号押韵60句如何写</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口号押韵60句如何写一2.在阳光的照耀下，跳高的比赛场地格外辉煌，运动健儿们，用那矫键的身躯，冲刺着一个又一个的高度。没有尝试，怎会知道自己是否为强者，超越自己，也许会创造一番新天地！运动健儿们加油吧，去创造一份份奇奇迹，去创...</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最新春季运动会口号押韵60句如何写一</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最新春季运动会口号押韵60句如何写三</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最新春季运动会口号押韵60句如何写四</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