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推荐企业员工工作粗心检讨书范文怎么写(三篇)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推荐企业员工工作粗心检讨书范文怎么写一第二篇 人事管理篇第三篇 行政管理篇第四篇 后勤总务管理篇第五篇 安全管理篇第六篇 附则致员工：热烈欢迎您加入_有限公司，我们的目标是：为每一位员工提供称心如意的工作，在积极奋进、团结合作、健康愉快的环...</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推荐企业员工工作粗心检讨书范文怎么写二</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企业工作的机会，非常感激企业给予了我这样的机会在良好的环境中工作和学习，让我在几个岗位上都得到了非常大的锻炼，不止是我自己很多人都看在眼里，企业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企业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在未离开岗位之前，我一定会尽自己的职责，做好应该做的事。最后，希望企业的业绩一如既往一路飙升，越走越顺!领导及各位同仁工作顺利，幸福快乐!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