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最新介绍广西阳朔西街的导游词范文(5篇)</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介绍广西阳朔西街的导游词范文一古人认为湘漓同源：源于海洋山系龙母山龙母洞的海洋河在兴安县被灵渠三七分水，两江相离，各加“三点水”，北去的叫湘江;南来的叫漓江。漓江是国家4a级景区，又是国家文明示范风景区。漓江水清澈透明，为国家标准二级水...</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最新介绍广西阳朔西街的导游词范文二</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访民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最新介绍广西阳朔西街的导游词范文三</w:t>
      </w:r>
    </w:p>
    <w:p>
      <w:pPr>
        <w:ind w:left="0" w:right="0" w:firstLine="560"/>
        <w:spacing w:before="450" w:after="450" w:line="312" w:lineRule="auto"/>
      </w:pPr>
      <w:r>
        <w:rPr>
          <w:rFonts w:ascii="宋体" w:hAnsi="宋体" w:eastAsia="宋体" w:cs="宋体"/>
          <w:color w:val="000"/>
          <w:sz w:val="28"/>
          <w:szCs w:val="28"/>
        </w:rPr>
        <w:t xml:space="preserve">广西北海的珠海路以其历史悠久及房屋建筑风格的特殊，于20世纪80至90年代备受中外专家、学者的关注。该路建于20世纪20_年代后期。它的建成与当时北海建制的升格有关，并经历了一段曲折的过程。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民国十五年(1920_年)三月以前，北海属广东合浦县靖海区管辖，属乡镇级编制。同年，广东省政府在佛山、陈村、北海、梅菉等6个乡镇级的商埠，先后设立市政筹备处，直属广东省管辖。北海于1920_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_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_年11月广州《民国日报》刊登的《南区请裁撤北海梅菉两市改警局》)”广东省政府根据陈铭枢的“呈请”，于1920_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_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_年1月初，接任的周昌荫专员，“因故未曾到任”，由当时驻北海的第十一师部副官林时清代行专员职权。不久周昌荫专员终于到任了，却在当年4月27日因贪污受贿被市民弹劾去职。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_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_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最新介绍广西阳朔西街的导游词范文四</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最新介绍广西阳朔西街的导游词范文五</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2025-07-08T17:31:17+08:00</dcterms:created>
  <dcterms:modified xsi:type="dcterms:W3CDTF">2025-07-08T17:31:17+08:00</dcterms:modified>
</cp:coreProperties>
</file>

<file path=docProps/custom.xml><?xml version="1.0" encoding="utf-8"?>
<Properties xmlns="http://schemas.openxmlformats.org/officeDocument/2006/custom-properties" xmlns:vt="http://schemas.openxmlformats.org/officeDocument/2006/docPropsVTypes"/>
</file>