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2025年云南大理的导游词如何写(二篇)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云南大理的导游词如何写一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w:t>
      </w:r>
    </w:p>
    <w:p>
      <w:pPr>
        <w:ind w:left="0" w:right="0" w:firstLine="560"/>
        <w:spacing w:before="450" w:after="450" w:line="312" w:lineRule="auto"/>
      </w:pPr>
      <w:r>
        <w:rPr>
          <w:rFonts w:ascii="黑体" w:hAnsi="黑体" w:eastAsia="黑体" w:cs="黑体"/>
          <w:color w:val="000000"/>
          <w:sz w:val="36"/>
          <w:szCs w:val="36"/>
          <w:b w:val="1"/>
          <w:bCs w:val="1"/>
        </w:rPr>
        <w:t xml:space="preserve">20_年云南大理的导游词如何写一</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呐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20_年云南大理的导游词如何写二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2025-05-01T16:24:41+08:00</dcterms:created>
  <dcterms:modified xsi:type="dcterms:W3CDTF">2025-05-01T16:24:41+08:00</dcterms:modified>
</cp:coreProperties>
</file>

<file path=docProps/custom.xml><?xml version="1.0" encoding="utf-8"?>
<Properties xmlns="http://schemas.openxmlformats.org/officeDocument/2006/custom-properties" xmlns:vt="http://schemas.openxmlformats.org/officeDocument/2006/docPropsVTypes"/>
</file>