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2025年辽宁本溪水洞导游词范本(二篇)</w:t>
      </w:r>
      <w:bookmarkEnd w:id="1"/>
    </w:p>
    <w:p>
      <w:pPr>
        <w:jc w:val="center"/>
        <w:spacing w:before="0" w:after="450"/>
      </w:pPr>
      <w:r>
        <w:rPr>
          <w:rFonts w:ascii="Arial" w:hAnsi="Arial" w:eastAsia="Arial" w:cs="Arial"/>
          <w:color w:val="999999"/>
          <w:sz w:val="20"/>
          <w:szCs w:val="20"/>
        </w:rPr>
        <w:t xml:space="preserve">来源：网络  作者：静谧旋律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辽宁本溪水洞导游词范本一本溪水洞目前是世界上最长的水上游览洞穴之一。1994年国务院批准为国家重点风景名胜区。游览本溪水洞不仅可以饱览到大自然鬼斧神工造就的神奇梦幻般的美景，同时您还可以获得许多有关洞穴科学方面的知识。岩溶洞穴，也叫...</w:t>
      </w:r>
    </w:p>
    <w:p>
      <w:pPr>
        <w:ind w:left="0" w:right="0" w:firstLine="560"/>
        <w:spacing w:before="450" w:after="450" w:line="312" w:lineRule="auto"/>
      </w:pPr>
      <w:r>
        <w:rPr>
          <w:rFonts w:ascii="黑体" w:hAnsi="黑体" w:eastAsia="黑体" w:cs="黑体"/>
          <w:color w:val="000000"/>
          <w:sz w:val="36"/>
          <w:szCs w:val="36"/>
          <w:b w:val="1"/>
          <w:bCs w:val="1"/>
        </w:rPr>
        <w:t xml:space="preserve">20_年辽宁本溪水洞导游词范本一</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 来源:</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6"/>
          <w:szCs w:val="36"/>
          <w:b w:val="1"/>
          <w:bCs w:val="1"/>
        </w:rPr>
        <w:t xml:space="preserve">20_年辽宁本溪水洞导游词范本二</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2025-08-13T03:06:51+08:00</dcterms:created>
  <dcterms:modified xsi:type="dcterms:W3CDTF">2025-08-13T03:06:51+08:00</dcterms:modified>
</cp:coreProperties>
</file>

<file path=docProps/custom.xml><?xml version="1.0" encoding="utf-8"?>
<Properties xmlns="http://schemas.openxmlformats.org/officeDocument/2006/custom-properties" xmlns:vt="http://schemas.openxmlformats.org/officeDocument/2006/docPropsVTypes"/>
</file>