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XX市市场监督管理局2024年涉企收费检查工作方案</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XX市市场监督管理局2024年涉企收费检查工作方案根据省市场监管局《关于开展涉企收费检查工作的通知》（X市监办竞争〔2024〕X号）、XX市市场监管局《关于印发2024年全市涉企收费检查工作方案的通知》（X市监办字〔2024〕X号）文件部署...</w:t>
      </w:r>
    </w:p>
    <w:p>
      <w:pPr>
        <w:ind w:left="0" w:right="0" w:firstLine="560"/>
        <w:spacing w:before="450" w:after="450" w:line="312" w:lineRule="auto"/>
      </w:pPr>
      <w:r>
        <w:rPr>
          <w:rFonts w:ascii="宋体" w:hAnsi="宋体" w:eastAsia="宋体" w:cs="宋体"/>
          <w:color w:val="000"/>
          <w:sz w:val="28"/>
          <w:szCs w:val="28"/>
        </w:rPr>
        <w:t xml:space="preserve">XX市市场监督管理局2024年涉企收费检查工作方案</w:t>
      </w:r>
    </w:p>
    <w:p>
      <w:pPr>
        <w:ind w:left="0" w:right="0" w:firstLine="560"/>
        <w:spacing w:before="450" w:after="450" w:line="312" w:lineRule="auto"/>
      </w:pPr>
      <w:r>
        <w:rPr>
          <w:rFonts w:ascii="宋体" w:hAnsi="宋体" w:eastAsia="宋体" w:cs="宋体"/>
          <w:color w:val="000"/>
          <w:sz w:val="28"/>
          <w:szCs w:val="28"/>
        </w:rPr>
        <w:t xml:space="preserve">根据省市场监管局《关于开展涉企收费检查工作的通知》（X市监办竞争〔2024〕X号）、XX市市场监管局《关于印发2024年全市涉企收费检查工作方案的通知》（X市监办字〔2024〕X号）文件部署，结合我市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涉企收费检查工作，进一步规范涉企收费行为。加强对涉企收费减免政策落实情况的监管，特别是疫情期间中央和省出台支持复工复产的涉企优惠政策，以及小微企业信贷优惠措施落实情况的监管，重点治理行政审批中介服务、行业协会商会、电子政务平台、水电气等领域乱收费行为，为我市的经济发展创造良好的营商环境。</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重点围绕行政审批中介服务、行业协会商会、电子政务平台、水电气等行业领域，依法查处以下违法违规行为：</w:t>
      </w:r>
    </w:p>
    <w:p>
      <w:pPr>
        <w:ind w:left="0" w:right="0" w:firstLine="560"/>
        <w:spacing w:before="450" w:after="450" w:line="312" w:lineRule="auto"/>
      </w:pPr>
      <w:r>
        <w:rPr>
          <w:rFonts w:ascii="宋体" w:hAnsi="宋体" w:eastAsia="宋体" w:cs="宋体"/>
          <w:color w:val="000"/>
          <w:sz w:val="28"/>
          <w:szCs w:val="28"/>
        </w:rPr>
        <w:t xml:space="preserve">1.不执行政府定价或指导价，擅自设立收费项目或自定收费标准，以及采取分解收费项目、重复收费、扩大收费范围等方式变相提高收费标准的行为；</w:t>
      </w:r>
    </w:p>
    <w:p>
      <w:pPr>
        <w:ind w:left="0" w:right="0" w:firstLine="560"/>
        <w:spacing w:before="450" w:after="450" w:line="312" w:lineRule="auto"/>
      </w:pPr>
      <w:r>
        <w:rPr>
          <w:rFonts w:ascii="宋体" w:hAnsi="宋体" w:eastAsia="宋体" w:cs="宋体"/>
          <w:color w:val="000"/>
          <w:sz w:val="28"/>
          <w:szCs w:val="28"/>
        </w:rPr>
        <w:t xml:space="preserve">2.利用市场优势地位强制或变相强制服务并收费，以及只收费不服务、少服务的行为；</w:t>
      </w:r>
    </w:p>
    <w:p>
      <w:pPr>
        <w:ind w:left="0" w:right="0" w:firstLine="560"/>
        <w:spacing w:before="450" w:after="450" w:line="312" w:lineRule="auto"/>
      </w:pPr>
      <w:r>
        <w:rPr>
          <w:rFonts w:ascii="宋体" w:hAnsi="宋体" w:eastAsia="宋体" w:cs="宋体"/>
          <w:color w:val="000"/>
          <w:sz w:val="28"/>
          <w:szCs w:val="28"/>
        </w:rPr>
        <w:t xml:space="preserve">3.将行政审批事项转为中介服务并收费，将行政机关在审批过程中委托开展的技术服务活动费用转嫁给申请人承担，以及行政机关将职责范围内的公务活动变无偿为有偿行为；</w:t>
      </w:r>
    </w:p>
    <w:p>
      <w:pPr>
        <w:ind w:left="0" w:right="0" w:firstLine="560"/>
        <w:spacing w:before="450" w:after="450" w:line="312" w:lineRule="auto"/>
      </w:pPr>
      <w:r>
        <w:rPr>
          <w:rFonts w:ascii="宋体" w:hAnsi="宋体" w:eastAsia="宋体" w:cs="宋体"/>
          <w:color w:val="000"/>
          <w:sz w:val="28"/>
          <w:szCs w:val="28"/>
        </w:rPr>
        <w:t xml:space="preserve">4.继续或变相收取已取消和停征的收费项目，不执行优惠政策，不落实降低企业用水用气用电成本政策的行为；</w:t>
      </w:r>
    </w:p>
    <w:p>
      <w:pPr>
        <w:ind w:left="0" w:right="0" w:firstLine="560"/>
        <w:spacing w:before="450" w:after="450" w:line="312" w:lineRule="auto"/>
      </w:pPr>
      <w:r>
        <w:rPr>
          <w:rFonts w:ascii="宋体" w:hAnsi="宋体" w:eastAsia="宋体" w:cs="宋体"/>
          <w:color w:val="000"/>
          <w:sz w:val="28"/>
          <w:szCs w:val="28"/>
        </w:rPr>
        <w:t xml:space="preserve">5.行业协会商会违反协会章程收费，强制入会收费，强制会员企业付费参加各类会议、培训、评比、达标、表彰等活动，利用行政资源乱收费等行为；</w:t>
      </w:r>
    </w:p>
    <w:p>
      <w:pPr>
        <w:ind w:left="0" w:right="0" w:firstLine="560"/>
        <w:spacing w:before="450" w:after="450" w:line="312" w:lineRule="auto"/>
      </w:pPr>
      <w:r>
        <w:rPr>
          <w:rFonts w:ascii="宋体" w:hAnsi="宋体" w:eastAsia="宋体" w:cs="宋体"/>
          <w:color w:val="000"/>
          <w:sz w:val="28"/>
          <w:szCs w:val="28"/>
        </w:rPr>
        <w:t xml:space="preserve">6.相互串通、操纵中介服务市场价格的行为；</w:t>
      </w:r>
    </w:p>
    <w:p>
      <w:pPr>
        <w:ind w:left="0" w:right="0" w:firstLine="560"/>
        <w:spacing w:before="450" w:after="450" w:line="312" w:lineRule="auto"/>
      </w:pPr>
      <w:r>
        <w:rPr>
          <w:rFonts w:ascii="宋体" w:hAnsi="宋体" w:eastAsia="宋体" w:cs="宋体"/>
          <w:color w:val="000"/>
          <w:sz w:val="28"/>
          <w:szCs w:val="28"/>
        </w:rPr>
        <w:t xml:space="preserve">7.利用电子政务平台，采取强制或变相强制的方式要求企业或个人购买第三方电子认证服务，以及以技术维护费、服务费、电子介质成本费等名义向企事业单位和个人收取经营服务性费用的行为；</w:t>
      </w:r>
    </w:p>
    <w:p>
      <w:pPr>
        <w:ind w:left="0" w:right="0" w:firstLine="560"/>
        <w:spacing w:before="450" w:after="450" w:line="312" w:lineRule="auto"/>
      </w:pPr>
      <w:r>
        <w:rPr>
          <w:rFonts w:ascii="宋体" w:hAnsi="宋体" w:eastAsia="宋体" w:cs="宋体"/>
          <w:color w:val="000"/>
          <w:sz w:val="28"/>
          <w:szCs w:val="28"/>
        </w:rPr>
        <w:t xml:space="preserve">8.其他价格违法行为。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此次检查由市局统一部署开展，价监股具体组织实施，2024年11月10日前完成。</w:t>
      </w:r>
    </w:p>
    <w:p>
      <w:pPr>
        <w:ind w:left="0" w:right="0" w:firstLine="560"/>
        <w:spacing w:before="450" w:after="450" w:line="312" w:lineRule="auto"/>
      </w:pPr>
      <w:r>
        <w:rPr>
          <w:rFonts w:ascii="宋体" w:hAnsi="宋体" w:eastAsia="宋体" w:cs="宋体"/>
          <w:color w:val="000"/>
          <w:sz w:val="28"/>
          <w:szCs w:val="28"/>
        </w:rPr>
        <w:t xml:space="preserve">四、检查时限</w:t>
      </w:r>
    </w:p>
    <w:p>
      <w:pPr>
        <w:ind w:left="0" w:right="0" w:firstLine="560"/>
        <w:spacing w:before="450" w:after="450" w:line="312" w:lineRule="auto"/>
      </w:pPr>
      <w:r>
        <w:rPr>
          <w:rFonts w:ascii="宋体" w:hAnsi="宋体" w:eastAsia="宋体" w:cs="宋体"/>
          <w:color w:val="000"/>
          <w:sz w:val="28"/>
          <w:szCs w:val="28"/>
        </w:rPr>
        <w:t xml:space="preserve">2024年7月1日以来发生的涉企收费行为。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周密安排。要切实提高政治站位，各单位负责人要精心组织，细化任务，明确责任，狠抓落实。对检查中发现的违规收费问题，要依法严肃查处，并督促逐条逐项整改落实到位，不断增强企业的获得感。</w:t>
      </w:r>
    </w:p>
    <w:p>
      <w:pPr>
        <w:ind w:left="0" w:right="0" w:firstLine="560"/>
        <w:spacing w:before="450" w:after="450" w:line="312" w:lineRule="auto"/>
      </w:pPr>
      <w:r>
        <w:rPr>
          <w:rFonts w:ascii="宋体" w:hAnsi="宋体" w:eastAsia="宋体" w:cs="宋体"/>
          <w:color w:val="000"/>
          <w:sz w:val="28"/>
          <w:szCs w:val="28"/>
        </w:rPr>
        <w:t xml:space="preserve">2.坚持问题导向，突出重点。涉企乱收费隐蔽性强，涉及面广，要充分利用12315平台投诉举报线索和媒体网络舆情，聚焦企业反映集中的问题，通过外围调查摸底，确定重点问题和监管目标，制定具体检查方案，扎实开展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2025-05-02T14:56:32+08:00</dcterms:created>
  <dcterms:modified xsi:type="dcterms:W3CDTF">2025-05-02T14:56:32+08:00</dcterms:modified>
</cp:coreProperties>
</file>

<file path=docProps/custom.xml><?xml version="1.0" encoding="utf-8"?>
<Properties xmlns="http://schemas.openxmlformats.org/officeDocument/2006/custom-properties" xmlns:vt="http://schemas.openxmlformats.org/officeDocument/2006/docPropsVTypes"/>
</file>