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征文7篇【篇一】“兹定于5月2日在老家为我父亲办70大寿酒宴，敬请群内亲友们光临！”堂兄在亲人群里发送的一条信息立即得到了大家的回应：“祝伯父福如东海寿比南山”“一定参加，祝大舅舅生日快乐”。老父亲感慨，现在通讯是真发达呀。以前...</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