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浅谈语文教学中的情感培养</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浅谈语文教学中的情感培养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1、...</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