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（精华版）国家开放大学电大专科《数控加工工艺》机考网考形考题库及答案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数控加工工艺》机考网考形考题库及答案盗传必究机考题型包括：单项选择题、判断题和综合题。一、单选题题目1数控机床加工时，零件一次安装完成尽可能多的零件表面加工（即采用基准统一原则），这样有利于保证零件各加工表面...</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(精华版)国家开放大学电大专科《数控加工工艺》机考网考形考题库及答案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机考题型包括：单项选择题、判断题和综合题。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正确答案：有足够的余量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正确答案：自为基准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正确答案：孔径收缩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正确答案：强度和刚度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正确答案：大一些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正确答案：小于或等于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正确答案：与轴中心线等高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正确答案：1：10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正确答案：HSK</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正确答案：试切对刀法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正确答案：最大值与最小值之差的一半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正确答案：提高反向传动精度</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正确答案：孔径扩张</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正确答案：带状切屑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正确答案：第三变形区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正确答案：单向趋近定位点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正确答案：有利于选择合理的切削用量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正确答案：粗加工及空行程</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正确答案：优化切削用量</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正确答案：M6</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