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2024年中小学校秋冬季新冠肺炎疫情防控技术方案</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小学校秋冬季新冠肺炎疫情防控技术方案（更新版）为指导中小学校加强秋冬季新冠肺炎疫情防控工作，压实中小学校疫情常态化防控主体责任，坚持人物同防、多病共防，落实“四早”防控措施，精准防控，制定本技术方案。一、开学前（一）制度要求1.各地根据当...</w:t>
      </w:r>
    </w:p>
    <w:p>
      <w:pPr>
        <w:ind w:left="0" w:right="0" w:firstLine="560"/>
        <w:spacing w:before="450" w:after="450" w:line="312" w:lineRule="auto"/>
      </w:pPr>
      <w:r>
        <w:rPr>
          <w:rFonts w:ascii="宋体" w:hAnsi="宋体" w:eastAsia="宋体" w:cs="宋体"/>
          <w:color w:val="000"/>
          <w:sz w:val="28"/>
          <w:szCs w:val="28"/>
        </w:rPr>
        <w:t xml:space="preserve">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