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在落实省委巡视反馈意见整改推进会上的讲话</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落实省委巡视反馈意见整改推进会上的讲话同志们：这次会议是县委、县政府研究确定召开的一次重要会议。会议的主题是贯彻落实省委巡视反馈意见，扎实有效推动整改工作。刚才，xxx同志宣读了县委《关于省委第x巡视组反馈意见的整改落实方案》，各级各部门...</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