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2024年组织部长在基层党建工作座谈会上的讲话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组织部长在基层党建工作座谈会上的讲话同志们：距离2024年结束还有不到2个月的时间。这一年来，全区围绕党建引领基层治理工作，群智群策群力，合心合拍合力，切实推动了城市基层党建工作高质高效开展。刚才，各单位与会同志围绕小区党支部、党...</w:t>
      </w:r>
    </w:p>
    <w:p>
      <w:pPr>
        <w:ind w:left="0" w:right="0" w:firstLine="560"/>
        <w:spacing w:before="450" w:after="450" w:line="312" w:lineRule="auto"/>
      </w:pPr>
      <w:r>
        <w:rPr>
          <w:rFonts w:ascii="宋体" w:hAnsi="宋体" w:eastAsia="宋体" w:cs="宋体"/>
          <w:color w:val="000"/>
          <w:sz w:val="28"/>
          <w:szCs w:val="28"/>
        </w:rPr>
        <w:t xml:space="preserve">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2024年结束还有不到2个月的时间。这一年来，全区围绕党建引领基层治理工作，群智群策群力，合心合拍合力，切实推动了城市基层党建工作高质高效开展。刚才，各单位与会同志围绕小区党支部、党群服务中心、“邻里中心”建设的项目谋划以及2024年党建工作打算进行了详细汇报，总体感觉大家对抓好下步工作有了明确的想法和思路，希望大家接下来抓好具体工作落实。同时，X社区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一、提高认识、领会精髓，精准把握党建引领基层治理工作意义。</w:t>
      </w:r>
    </w:p>
    <w:p>
      <w:pPr>
        <w:ind w:left="0" w:right="0" w:firstLine="560"/>
        <w:spacing w:before="450" w:after="450" w:line="312" w:lineRule="auto"/>
      </w:pPr>
      <w:r>
        <w:rPr>
          <w:rFonts w:ascii="宋体" w:hAnsi="宋体" w:eastAsia="宋体" w:cs="宋体"/>
          <w:color w:val="000"/>
          <w:sz w:val="28"/>
          <w:szCs w:val="28"/>
        </w:rPr>
        <w:t xml:space="preserve">X书记指出，推进党建引领基层治理，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基层治理与贯彻落实党的十九届五中全会精神结合起来，以巩固深化“不忘初心、牢记使命”主题教育成果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党建引领基层治理工作作为书记工程，深刻理解党建引领基层治理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基层治理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X区基层社会的基本区情特征，随之而来的问题已逐渐成为我们推动基层治理绕不开、推不掉的现实问题。一方面，我们全区X个城市社区，共有小区X个，平均每个社区有小区X个，人口约X万人。其中X社区人口都在X万人以上，X社区小区数达X个，X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治组织共同参与的联席会议制度，延伸党建工作触角。同时，推动小区党支部书记和业委会主任“一肩挑”，将优秀业委会主任发展为党员，引导小区党员在业委会竞选任职。二要加快志愿服务体系建设。大力推行“涧贤银行”志愿者积分激励机制，进一步扩大工作覆盖面，使“涧贤银行”真正成为服务党员群众、凝聚民心民力、创新基层治理的一把金钥匙。各街道内部要积极探索统一的积分标准，努力实现爱心币通存通兑。同时，积极挖掘能力强、素质高、群众依赖的“涧贤能人”，推动社区居民自我管理、自我监督、自我服务。三要建强用好党建红色阵地。要按照每百户居民拥有综合服务设施使用面积不低于30㎡的标准，以新建、改造、购买、项目配套、整合资源等方式，持续推进党群服务中心、住宅小区“邻里中心”建设，形成“一刻钟党建服务圈”，让辖区居民切实感受到有一种幸福叫“生活在X”。</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X的讲话已为我们指明了方向，大家要持续推进党建引领基层治理工作，大力弘扬X同志X精神，以坚定的信仰之力和X人干事创业特有的奋发之力，全领域推动党建引领社区治理创新，以实际成效树立形象、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2025-06-20T20:18:38+08:00</dcterms:created>
  <dcterms:modified xsi:type="dcterms:W3CDTF">2025-06-20T20:18:38+08:00</dcterms:modified>
</cp:coreProperties>
</file>

<file path=docProps/custom.xml><?xml version="1.0" encoding="utf-8"?>
<Properties xmlns="http://schemas.openxmlformats.org/officeDocument/2006/custom-properties" xmlns:vt="http://schemas.openxmlformats.org/officeDocument/2006/docPropsVTypes"/>
</file>