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干部个人主要特点及具体事例</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干部个人主要特点及具体事例3篇干部个人主要特点及具体事例新时期主职领导干部特征一：是忠诚。忠诚于党和人民的事业，是各级领导干部的基本政治品格，是信念坚定的集中体现，是判断一名领导干部是否合格的重要标志。首先要讲政治。始终坚持党的基本理论、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干部个人主要特点及具体事例3篇</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新时期主职领导干部特征一：是忠诚。</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