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遵义市中医院网络舆情预警机制及应对预案</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遵义市中医院网络舆情预警机制及应对预案为切实提高遵义市中医院网络舆情监控及应对能力，及时、准确发布有关信息，掌握、引导舆情的主动权，最大程度地避免网络舆情事件对医院造成的损害，减少负面影响，为保障市中医院持续、稳定、高速发展提供良好的网络舆...</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网络舆情预警机制及应对预案</w:t>
      </w:r>
    </w:p>
    <w:p>
      <w:pPr>
        <w:ind w:left="0" w:right="0" w:firstLine="560"/>
        <w:spacing w:before="450" w:after="450" w:line="312" w:lineRule="auto"/>
      </w:pPr>
      <w:r>
        <w:rPr>
          <w:rFonts w:ascii="宋体" w:hAnsi="宋体" w:eastAsia="宋体" w:cs="宋体"/>
          <w:color w:val="000"/>
          <w:sz w:val="28"/>
          <w:szCs w:val="28"/>
        </w:rPr>
        <w:t xml:space="preserve">为切实提高遵义市中医院网络舆情监控及应对能力，及时、准确发布有关信息，掌握、引导舆情的主动权，最大程度地避免网络舆情事件对医院造成的损害，减少负面影响，为保障市中医院持续、稳定、高速发展提供良好的网络舆论氛围，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监控，提早发现，合理研判，积极应对，先入为主，科学处置，消除影响”；基本手段是“引导新闻采访报道，发布医院新闻通稿，网评跟帖及时应对，召开新闻发布会”。</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按照上级部门相关要求及应对舆情需要，医院成立网络舆情监控与应对工作领导小组（以下简称“舆情应对领导小组”）。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副组长：杨丛维</w:t>
      </w:r>
    </w:p>
    <w:p>
      <w:pPr>
        <w:ind w:left="0" w:right="0" w:firstLine="560"/>
        <w:spacing w:before="450" w:after="450" w:line="312" w:lineRule="auto"/>
      </w:pPr>
      <w:r>
        <w:rPr>
          <w:rFonts w:ascii="宋体" w:hAnsi="宋体" w:eastAsia="宋体" w:cs="宋体"/>
          <w:color w:val="000"/>
          <w:sz w:val="28"/>
          <w:szCs w:val="28"/>
        </w:rPr>
        <w:t xml:space="preserve">匡祖锋</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成员：黄</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陈虹年</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刘政伟</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以下简称“舆情办”），设在党政办公室，党政办主任黄河兼任办公室主任。负责外采访及内部信息发布，有对外采访或重大舆情突发事件要及时上报领导小组和市卫计委，在市卫计委的指导下成立新闻发布组，确定新闻发言人，统一对外信息发布内容口径。任何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网络舆情监控小组24小时不间断监控网络平台，及时对负面网络舆情做出准确判断。发生突发事件时，及时、全面掌握舆情走向，为正确研判、决策提供有力支撑。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小组监控到网络舆情时，监控工作人员第一时间上报网络舆情办公室，网络舆情办公室分析网络舆情产生的原因，及时监控该网络舆情的内容、成因、关注度、跟帖人数、热点指数等动态指标，做好记录、统计，以及目前舆情所处的发展阶段和可能产生的各种影响。网络舆情办公室与领导小组保持紧密沟通并及时上报市卫计委。</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①一般网络舆情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职能部门查清事实真相，在1天内给出正面的解释或解决方案，网络舆情办公室和相关职能部门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若网络舆情不能消除或还有扩大迹象时，舆情办公室要及时上报舆情应对领导小组，按照重大舆情应对处置流程办理。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②重大、特别重大网络舆情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对重大、特别重大网络舆情，舆情监控工作人员应立刻报告领导小组，并与医院相关部门立即调查事实真相，及时获取事件详细资料。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舆情应对领导小组召开紧急会议，迅速成立新闻发布组，确定新闻发言人。及时向市卫计委汇报舆情突发事件的情况和应对方案。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市卫计委的指导下，运用主流网络媒体、网络评论员队伍，采用跟贴回贴、发表评论、声明等方式，对舆情进行正面引导、疏导，积极掌握舆情发展的主动权，实时跟踪该舆情走向，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部门（必要时可邀请网络舆情应对专家），对应对处置工作进行全面总结和评估。对参与应对处置工作的部门和个人进行责任考核奖惩，针对网络舆情应对处置工作中的成功经验以及暴露出来的问题，进一步修改完善本预案。</w:t>
      </w:r>
    </w:p>
    <w:p>
      <w:pPr>
        <w:ind w:left="0" w:right="0" w:firstLine="560"/>
        <w:spacing w:before="450" w:after="450" w:line="312" w:lineRule="auto"/>
      </w:pPr>
      <w:r>
        <w:rPr>
          <w:rFonts w:ascii="宋体" w:hAnsi="宋体" w:eastAsia="宋体" w:cs="宋体"/>
          <w:color w:val="000"/>
          <w:sz w:val="28"/>
          <w:szCs w:val="28"/>
        </w:rPr>
        <w:t xml:space="preserve">附件：遵义市中医院网络评论员名单</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遵义市中医院网络评论员名单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门急诊</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宋体" w:hAnsi="宋体" w:eastAsia="宋体" w:cs="宋体"/>
          <w:color w:val="000"/>
          <w:sz w:val="28"/>
          <w:szCs w:val="28"/>
        </w:rPr>
        <w:t xml:space="preserve">推拿科</w:t>
      </w:r>
    </w:p>
    <w:p>
      <w:pPr>
        <w:ind w:left="0" w:right="0" w:firstLine="560"/>
        <w:spacing w:before="450" w:after="450" w:line="312" w:lineRule="auto"/>
      </w:pPr>
      <w:r>
        <w:rPr>
          <w:rFonts w:ascii="宋体" w:hAnsi="宋体" w:eastAsia="宋体" w:cs="宋体"/>
          <w:color w:val="000"/>
          <w:sz w:val="28"/>
          <w:szCs w:val="28"/>
        </w:rPr>
        <w:t xml:space="preserve">脾胃病科</w:t>
      </w:r>
    </w:p>
    <w:p>
      <w:pPr>
        <w:ind w:left="0" w:right="0" w:firstLine="560"/>
        <w:spacing w:before="450" w:after="450" w:line="312" w:lineRule="auto"/>
      </w:pPr>
      <w:r>
        <w:rPr>
          <w:rFonts w:ascii="宋体" w:hAnsi="宋体" w:eastAsia="宋体" w:cs="宋体"/>
          <w:color w:val="000"/>
          <w:sz w:val="28"/>
          <w:szCs w:val="28"/>
        </w:rPr>
        <w:t xml:space="preserve">肺病科</w:t>
      </w:r>
    </w:p>
    <w:p>
      <w:pPr>
        <w:ind w:left="0" w:right="0" w:firstLine="560"/>
        <w:spacing w:before="450" w:after="450" w:line="312" w:lineRule="auto"/>
      </w:pPr>
      <w:r>
        <w:rPr>
          <w:rFonts w:ascii="宋体" w:hAnsi="宋体" w:eastAsia="宋体" w:cs="宋体"/>
          <w:color w:val="000"/>
          <w:sz w:val="28"/>
          <w:szCs w:val="28"/>
        </w:rPr>
        <w:t xml:space="preserve">脑病科一病区</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脑病科二病区</w:t>
      </w:r>
    </w:p>
    <w:p>
      <w:pPr>
        <w:ind w:left="0" w:right="0" w:firstLine="560"/>
        <w:spacing w:before="450" w:after="450" w:line="312" w:lineRule="auto"/>
      </w:pPr>
      <w:r>
        <w:rPr>
          <w:rFonts w:ascii="宋体" w:hAnsi="宋体" w:eastAsia="宋体" w:cs="宋体"/>
          <w:color w:val="000"/>
          <w:sz w:val="28"/>
          <w:szCs w:val="28"/>
        </w:rPr>
        <w:t xml:space="preserve">肾病风湿病科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麻醉科</w:t>
      </w:r>
    </w:p>
    <w:p>
      <w:pPr>
        <w:ind w:left="0" w:right="0" w:firstLine="560"/>
        <w:spacing w:before="450" w:after="450" w:line="312" w:lineRule="auto"/>
      </w:pPr>
      <w:r>
        <w:rPr>
          <w:rFonts w:ascii="宋体" w:hAnsi="宋体" w:eastAsia="宋体" w:cs="宋体"/>
          <w:color w:val="000"/>
          <w:sz w:val="28"/>
          <w:szCs w:val="28"/>
        </w:rPr>
        <w:t xml:space="preserve">医技科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回访中心</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